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120"/>
      </w:pPr>
    </w:p>
    <w:p>
      <w:pPr>
        <w:pStyle w:val="Kicker"/>
        <w:jc w:val="center"/>
      </w:pPr>
      <w:r>
        <w:rPr>
          <w:rFonts w:ascii="Calibri" w:hAnsi="Calibri" w:eastAsia="Calibri"/>
          <w:b/>
          <w:color w:val="9C7A38"/>
          <w:sz w:val="22"/>
        </w:rPr>
        <w:t>LUXURIOUS GROUP AUSTRALIA PTY LTD</w:t>
      </w:r>
    </w:p>
    <w:p>
      <w:pPr>
        <w:pStyle w:val="Title"/>
        <w:jc w:val="center"/>
      </w:pPr>
      <w:r>
        <w:rPr>
          <w:rFonts w:ascii="Calibri" w:hAnsi="Calibri" w:eastAsia="Calibri"/>
          <w:b/>
          <w:color w:val="23272B"/>
          <w:sz w:val="56"/>
        </w:rPr>
        <w:t>Corporate Matters</w:t>
      </w:r>
    </w:p>
    <w:p>
      <w:pPr>
        <w:pStyle w:val="Subtitle"/>
        <w:jc w:val="center"/>
      </w:pPr>
      <w:r>
        <w:rPr>
          <w:rFonts w:ascii="Calibri" w:hAnsi="Calibri" w:eastAsia="Calibri"/>
          <w:color w:val="23364D"/>
          <w:sz w:val="28"/>
        </w:rPr>
        <w:t>Privacy Policy, Confidentiality Clause, Disclaimer &amp; Corporate Statements</w:t>
      </w:r>
    </w:p>
    <w:p>
      <w:pPr>
        <w:spacing w:before="120" w:after="680"/>
        <w:jc w:val="center"/>
      </w:pPr>
      <w:r>
        <w:rPr>
          <w:rFonts w:ascii="Calibri" w:hAnsi="Calibri" w:eastAsia="Calibri"/>
          <w:i/>
          <w:color w:val="62676D"/>
          <w:sz w:val="22"/>
        </w:rPr>
        <w:t>Website and Documentation Edition</w:t>
      </w:r>
    </w:p>
    <w:p>
      <w:pPr>
        <w:spacing w:before="360" w:after="720"/>
        <w:jc w:val="center"/>
      </w:pPr>
      <w:r>
        <w:rPr>
          <w:rFonts w:ascii="Calibri" w:hAnsi="Calibri" w:eastAsia="Calibri"/>
          <w:b/>
          <w:color w:val="9C7A38"/>
          <w:sz w:val="24"/>
        </w:rPr>
        <w:t>WHERE LUXURY MEETS OPPORTUNITY</w:t>
      </w:r>
    </w:p>
    <w:p>
      <w:pPr>
        <w:spacing w:before="0" w:after="40"/>
        <w:jc w:val="center"/>
      </w:pPr>
      <w:r>
        <w:rPr>
          <w:rFonts w:ascii="Calibri" w:hAnsi="Calibri" w:eastAsia="Calibri"/>
          <w:b/>
          <w:color w:val="23364D"/>
          <w:sz w:val="20"/>
        </w:rPr>
        <w:t xml:space="preserve">Entity: </w:t>
      </w:r>
      <w:r>
        <w:rPr>
          <w:rFonts w:ascii="Calibri" w:hAnsi="Calibri" w:eastAsia="Calibri"/>
          <w:color w:val="23272B"/>
          <w:sz w:val="20"/>
        </w:rPr>
        <w:t>Luxurious Group Australia Pty Ltd</w:t>
      </w:r>
    </w:p>
    <w:p>
      <w:pPr>
        <w:spacing w:before="0" w:after="40"/>
        <w:jc w:val="center"/>
      </w:pPr>
      <w:r>
        <w:rPr>
          <w:rFonts w:ascii="Calibri" w:hAnsi="Calibri" w:eastAsia="Calibri"/>
          <w:b/>
          <w:color w:val="23364D"/>
          <w:sz w:val="20"/>
        </w:rPr>
        <w:t xml:space="preserve">ACN: </w:t>
      </w:r>
      <w:r>
        <w:rPr>
          <w:rFonts w:ascii="Calibri" w:hAnsi="Calibri" w:eastAsia="Calibri"/>
          <w:color w:val="23272B"/>
          <w:sz w:val="20"/>
        </w:rPr>
        <w:t>657 084 065</w:t>
      </w:r>
    </w:p>
    <w:p>
      <w:pPr>
        <w:spacing w:before="0" w:after="40"/>
        <w:jc w:val="center"/>
      </w:pPr>
      <w:r>
        <w:rPr>
          <w:rFonts w:ascii="Calibri" w:hAnsi="Calibri" w:eastAsia="Calibri"/>
          <w:b/>
          <w:color w:val="23364D"/>
          <w:sz w:val="20"/>
        </w:rPr>
        <w:t xml:space="preserve">Principal business address: </w:t>
      </w:r>
      <w:r>
        <w:rPr>
          <w:rFonts w:ascii="Calibri" w:hAnsi="Calibri" w:eastAsia="Calibri"/>
          <w:color w:val="23272B"/>
          <w:sz w:val="20"/>
        </w:rPr>
        <w:t>404/1 Como Crescent, Southport QLD 4215, Australia</w:t>
      </w:r>
    </w:p>
    <w:p>
      <w:pPr>
        <w:spacing w:before="0" w:after="40"/>
        <w:jc w:val="center"/>
      </w:pPr>
      <w:r>
        <w:rPr>
          <w:rFonts w:ascii="Calibri" w:hAnsi="Calibri" w:eastAsia="Calibri"/>
          <w:b/>
          <w:color w:val="23364D"/>
          <w:sz w:val="20"/>
        </w:rPr>
        <w:t xml:space="preserve">Website: </w:t>
      </w:r>
      <w:r>
        <w:rPr>
          <w:rFonts w:ascii="Calibri" w:hAnsi="Calibri" w:eastAsia="Calibri"/>
          <w:color w:val="23272B"/>
          <w:sz w:val="20"/>
        </w:rPr>
        <w:t>www.luxuriousgroup.com.au</w:t>
      </w:r>
    </w:p>
    <w:p>
      <w:pPr>
        <w:spacing w:before="0" w:after="40"/>
        <w:jc w:val="center"/>
      </w:pPr>
      <w:r>
        <w:rPr>
          <w:rFonts w:ascii="Calibri" w:hAnsi="Calibri" w:eastAsia="Calibri"/>
          <w:b/>
          <w:color w:val="23364D"/>
          <w:sz w:val="20"/>
        </w:rPr>
        <w:t xml:space="preserve">Email: </w:t>
      </w:r>
      <w:r>
        <w:rPr>
          <w:rFonts w:ascii="Calibri" w:hAnsi="Calibri" w:eastAsia="Calibri"/>
          <w:color w:val="23272B"/>
          <w:sz w:val="20"/>
        </w:rPr>
        <w:t>info@luxuriousgroup.com.au</w:t>
      </w:r>
    </w:p>
    <w:p>
      <w:pPr>
        <w:spacing w:before="0" w:after="40"/>
        <w:jc w:val="center"/>
      </w:pPr>
      <w:r>
        <w:rPr>
          <w:rFonts w:ascii="Calibri" w:hAnsi="Calibri" w:eastAsia="Calibri"/>
          <w:b/>
          <w:color w:val="23364D"/>
          <w:sz w:val="20"/>
        </w:rPr>
        <w:t xml:space="preserve">Telephone: </w:t>
      </w:r>
      <w:r>
        <w:rPr>
          <w:rFonts w:ascii="Calibri" w:hAnsi="Calibri" w:eastAsia="Calibri"/>
          <w:color w:val="23272B"/>
          <w:sz w:val="20"/>
        </w:rPr>
        <w:t>0459 179 857</w:t>
      </w:r>
    </w:p>
    <w:p>
      <w:pPr>
        <w:spacing w:before="0" w:after="40"/>
        <w:jc w:val="center"/>
      </w:pPr>
      <w:r>
        <w:rPr>
          <w:rFonts w:ascii="Calibri" w:hAnsi="Calibri" w:eastAsia="Calibri"/>
          <w:b/>
          <w:color w:val="23364D"/>
          <w:sz w:val="20"/>
        </w:rPr>
        <w:t xml:space="preserve">Version: </w:t>
      </w:r>
      <w:r>
        <w:rPr>
          <w:rFonts w:ascii="Calibri" w:hAnsi="Calibri" w:eastAsia="Calibri"/>
          <w:color w:val="23272B"/>
          <w:sz w:val="20"/>
        </w:rPr>
        <w:t>1.0</w:t>
      </w:r>
    </w:p>
    <w:p>
      <w:pPr>
        <w:spacing w:before="0" w:after="40"/>
        <w:jc w:val="center"/>
      </w:pPr>
      <w:r>
        <w:rPr>
          <w:rFonts w:ascii="Calibri" w:hAnsi="Calibri" w:eastAsia="Calibri"/>
          <w:b/>
          <w:color w:val="23364D"/>
          <w:sz w:val="20"/>
        </w:rPr>
        <w:t xml:space="preserve">Effective date: </w:t>
      </w:r>
      <w:r>
        <w:rPr>
          <w:rFonts w:ascii="Calibri" w:hAnsi="Calibri" w:eastAsia="Calibri"/>
          <w:color w:val="23272B"/>
          <w:sz w:val="20"/>
        </w:rPr>
        <w:t>27 July 2026</w:t>
      </w:r>
    </w:p>
    <w:p>
      <w:r>
        <w:br w:type="page"/>
      </w:r>
    </w:p>
    <w:p>
      <w:pPr>
        <w:pStyle w:val="Kicker"/>
      </w:pPr>
      <w:r>
        <w:t>SECTION A</w:t>
      </w:r>
    </w:p>
    <w:p>
      <w:pPr>
        <w:pStyle w:val="Heading1"/>
        <w:spacing w:before="0"/>
      </w:pPr>
      <w:r>
        <w:t>How to Use This Corporate Pack</w:t>
      </w:r>
    </w:p>
    <w:p>
      <w:pPr>
        <w:pStyle w:val="Lead"/>
        <w:keepNext/>
      </w:pPr>
      <w:r>
        <w:t>A practical, website-ready foundation for Luxurious Group’s online presence, proposals, forms, agreements and client communications.</w:t>
      </w:r>
    </w:p>
    <w:p>
      <w:pPr>
        <w:pStyle w:val="Callout"/>
        <w:shd w:fill="F4EEE1" w:val="clear"/>
        <w:pBdr>
          <w:left w:val="single" w:sz="20" w:space="8" w:color="9C7A38"/>
        </w:pBdr>
      </w:pPr>
      <w:r>
        <w:rPr>
          <w:rFonts w:ascii="Calibri" w:hAnsi="Calibri" w:eastAsia="Calibri"/>
          <w:b/>
          <w:color w:val="23364D"/>
        </w:rPr>
        <w:t xml:space="preserve">Important legal status: </w:t>
      </w:r>
      <w:r>
        <w:rPr>
          <w:rFonts w:ascii="Calibri" w:hAnsi="Calibri" w:eastAsia="Calibri"/>
          <w:color w:val="23272B"/>
        </w:rPr>
        <w:t>This is a professionally prepared drafting pack, not legal advice. It should be reviewed by an Australian solicitor before publication or incorporation into a binding agreement, particularly where a service involves real estate, finance, investment, construction, travel, consumer services or another regulated activity.</w:t>
      </w:r>
    </w:p>
    <w:p>
      <w:pPr>
        <w:pStyle w:val="Heading2"/>
      </w:pPr>
      <w:r>
        <w:t>Purpose</w:t>
      </w:r>
    </w:p>
    <w:p>
      <w:pPr>
        <w:widowControl/>
        <w:spacing w:before="0" w:after="120" w:line="264" w:lineRule="auto"/>
      </w:pPr>
      <w:r>
        <w:rPr>
          <w:rFonts w:ascii="Calibri" w:hAnsi="Calibri" w:eastAsia="Calibri"/>
          <w:color w:val="23272B"/>
        </w:rPr>
        <w:t>The wording has been tailored to Luxurious Group Australia Pty Ltd and its connected property, lifestyle, marketing, directory, membership and strategic-partnership activities. It is intended to support a premium, discreet client experience while preserving clear legal boundaries between Luxurious Group, independent providers and appropriately licensed professionals.</w:t>
      </w:r>
    </w:p>
    <w:p>
      <w:pPr>
        <w:pStyle w:val="Heading2"/>
      </w:pPr>
      <w:r>
        <w:t>Contents</w:t>
      </w:r>
    </w:p>
    <w:p>
      <w:pPr>
        <w:keepLines w:val="0"/>
        <w:widowControl/>
        <w:numPr>
          <w:ilvl w:val="0"/>
          <w:numId w:val="42"/>
        </w:numPr>
        <w:spacing w:after="160" w:line="280" w:lineRule="auto"/>
      </w:pPr>
      <w:r>
        <w:rPr>
          <w:rFonts w:ascii="Calibri" w:hAnsi="Calibri" w:eastAsia="Calibri"/>
          <w:color w:val="23272B"/>
        </w:rPr>
        <w:t>Corporate Vision, Mission and Values, including concise website versions.</w:t>
      </w:r>
    </w:p>
    <w:p>
      <w:pPr>
        <w:keepLines w:val="0"/>
        <w:widowControl/>
        <w:numPr>
          <w:ilvl w:val="0"/>
          <w:numId w:val="42"/>
        </w:numPr>
        <w:spacing w:after="160" w:line="280" w:lineRule="auto"/>
      </w:pPr>
      <w:r>
        <w:rPr>
          <w:rFonts w:ascii="Calibri" w:hAnsi="Calibri" w:eastAsia="Calibri"/>
          <w:color w:val="23272B"/>
        </w:rPr>
        <w:t>A detailed Australian Privacy Policy suitable for the principal website and other sites that link to it.</w:t>
      </w:r>
    </w:p>
    <w:p>
      <w:pPr>
        <w:keepLines w:val="0"/>
        <w:widowControl/>
        <w:numPr>
          <w:ilvl w:val="0"/>
          <w:numId w:val="42"/>
        </w:numPr>
        <w:spacing w:after="160" w:line="280" w:lineRule="auto"/>
      </w:pPr>
      <w:r>
        <w:rPr>
          <w:rFonts w:ascii="Calibri" w:hAnsi="Calibri" w:eastAsia="Calibri"/>
          <w:color w:val="23272B"/>
        </w:rPr>
        <w:t>Short privacy and consent notices for enquiry, membership and directory forms.</w:t>
      </w:r>
    </w:p>
    <w:p>
      <w:pPr>
        <w:keepLines w:val="0"/>
        <w:widowControl/>
        <w:numPr>
          <w:ilvl w:val="0"/>
          <w:numId w:val="42"/>
        </w:numPr>
        <w:spacing w:after="160" w:line="280" w:lineRule="auto"/>
      </w:pPr>
      <w:r>
        <w:rPr>
          <w:rFonts w:ascii="Calibri" w:hAnsi="Calibri" w:eastAsia="Calibri"/>
          <w:color w:val="23272B"/>
        </w:rPr>
        <w:t>A comprehensive mutual Confidentiality Clause for proposals, agreements and commercial discussions.</w:t>
      </w:r>
    </w:p>
    <w:p>
      <w:pPr>
        <w:keepLines w:val="0"/>
        <w:widowControl/>
        <w:numPr>
          <w:ilvl w:val="0"/>
          <w:numId w:val="42"/>
        </w:numPr>
        <w:spacing w:after="160" w:line="280" w:lineRule="auto"/>
      </w:pPr>
      <w:r>
        <w:rPr>
          <w:rFonts w:ascii="Calibri" w:hAnsi="Calibri" w:eastAsia="Calibri"/>
          <w:color w:val="23272B"/>
        </w:rPr>
        <w:t>Short confidentiality notices for documents and emails.</w:t>
      </w:r>
    </w:p>
    <w:p>
      <w:pPr>
        <w:keepLines w:val="0"/>
        <w:widowControl/>
        <w:numPr>
          <w:ilvl w:val="0"/>
          <w:numId w:val="42"/>
        </w:numPr>
        <w:spacing w:after="160" w:line="280" w:lineRule="auto"/>
      </w:pPr>
      <w:r>
        <w:rPr>
          <w:rFonts w:ascii="Calibri" w:hAnsi="Calibri" w:eastAsia="Calibri"/>
          <w:color w:val="23272B"/>
        </w:rPr>
        <w:t>A detailed Website and Document Disclaimer tailored to property, luxury lifestyle, directory and commercial-opportunity content.</w:t>
      </w:r>
    </w:p>
    <w:p>
      <w:pPr>
        <w:keepLines w:val="0"/>
        <w:widowControl/>
        <w:numPr>
          <w:ilvl w:val="0"/>
          <w:numId w:val="42"/>
        </w:numPr>
        <w:spacing w:after="160" w:line="280" w:lineRule="auto"/>
      </w:pPr>
      <w:r>
        <w:rPr>
          <w:rFonts w:ascii="Calibri" w:hAnsi="Calibri" w:eastAsia="Calibri"/>
          <w:color w:val="23272B"/>
        </w:rPr>
        <w:t>Short disclaimer wording for page footers, proposals and social or promotional content.</w:t>
      </w:r>
    </w:p>
    <w:p>
      <w:pPr>
        <w:keepLines w:val="0"/>
        <w:widowControl/>
        <w:numPr>
          <w:ilvl w:val="0"/>
          <w:numId w:val="42"/>
        </w:numPr>
        <w:spacing w:after="160" w:line="280" w:lineRule="auto"/>
      </w:pPr>
      <w:r>
        <w:rPr>
          <w:rFonts w:ascii="Calibri" w:hAnsi="Calibri" w:eastAsia="Calibri"/>
          <w:color w:val="23272B"/>
        </w:rPr>
        <w:t>An implementation checklist and current official legal reference points.</w:t>
      </w:r>
    </w:p>
    <w:p>
      <w:pPr>
        <w:pStyle w:val="Heading2"/>
      </w:pPr>
      <w:r>
        <w:t>Document control</w:t>
      </w:r>
    </w:p>
    <w:p>
      <w:pPr>
        <w:widowControl/>
        <w:spacing w:before="0" w:after="60" w:line="264" w:lineRule="auto"/>
      </w:pPr>
      <w:r>
        <w:rPr>
          <w:rFonts w:ascii="Calibri" w:hAnsi="Calibri" w:eastAsia="Calibri"/>
          <w:b/>
          <w:color w:val="23364D"/>
        </w:rPr>
        <w:t xml:space="preserve">Policy owner: </w:t>
      </w:r>
      <w:r>
        <w:rPr>
          <w:rFonts w:ascii="Calibri" w:hAnsi="Calibri" w:eastAsia="Calibri"/>
          <w:color w:val="23272B"/>
        </w:rPr>
        <w:t>Chief Executive Officer / appointed Privacy Officer</w:t>
      </w:r>
    </w:p>
    <w:p>
      <w:pPr>
        <w:widowControl/>
        <w:spacing w:before="0" w:after="60" w:line="264" w:lineRule="auto"/>
      </w:pPr>
      <w:r>
        <w:rPr>
          <w:rFonts w:ascii="Calibri" w:hAnsi="Calibri" w:eastAsia="Calibri"/>
          <w:b/>
          <w:color w:val="23364D"/>
        </w:rPr>
        <w:t xml:space="preserve">Routine review: </w:t>
      </w:r>
      <w:r>
        <w:rPr>
          <w:rFonts w:ascii="Calibri" w:hAnsi="Calibri" w:eastAsia="Calibri"/>
          <w:color w:val="23272B"/>
        </w:rPr>
        <w:t>At least annually and whenever business practices, providers, websites or applicable laws materially change</w:t>
      </w:r>
    </w:p>
    <w:p>
      <w:pPr>
        <w:widowControl/>
        <w:spacing w:before="0" w:after="60" w:line="264" w:lineRule="auto"/>
      </w:pPr>
      <w:r>
        <w:rPr>
          <w:rFonts w:ascii="Calibri" w:hAnsi="Calibri" w:eastAsia="Calibri"/>
          <w:b/>
          <w:color w:val="23364D"/>
        </w:rPr>
        <w:t xml:space="preserve">Priority review: </w:t>
      </w:r>
      <w:r>
        <w:rPr>
          <w:rFonts w:ascii="Calibri" w:hAnsi="Calibri" w:eastAsia="Calibri"/>
          <w:color w:val="23272B"/>
        </w:rPr>
        <w:t>Before 10 December 2026 if automated tools use personal information in decisions that may significantly affect an individual’s rights or interests</w:t>
      </w:r>
    </w:p>
    <w:p>
      <w:pPr>
        <w:widowControl/>
        <w:spacing w:before="0" w:after="60" w:line="264" w:lineRule="auto"/>
      </w:pPr>
      <w:r>
        <w:rPr>
          <w:rFonts w:ascii="Calibri" w:hAnsi="Calibri" w:eastAsia="Calibri"/>
          <w:b/>
          <w:color w:val="23364D"/>
        </w:rPr>
        <w:t xml:space="preserve">Publication rule: </w:t>
      </w:r>
      <w:r>
        <w:rPr>
          <w:rFonts w:ascii="Calibri" w:hAnsi="Calibri" w:eastAsia="Calibri"/>
          <w:color w:val="23272B"/>
        </w:rPr>
        <w:t>Only the approved, current version should appear online; superseded copies should be archived and removed from active website links</w:t>
      </w:r>
    </w:p>
    <w:p>
      <w:pPr>
        <w:pStyle w:val="Kicker"/>
      </w:pPr>
      <w:r>
        <w:t>SECTION 1</w:t>
      </w:r>
    </w:p>
    <w:p>
      <w:pPr>
        <w:pStyle w:val="Heading1"/>
        <w:spacing w:before="0"/>
      </w:pPr>
      <w:r>
        <w:t>Corporate Vision, Mission and Values</w:t>
      </w:r>
    </w:p>
    <w:p>
      <w:pPr>
        <w:pStyle w:val="Lead"/>
        <w:keepNext/>
      </w:pPr>
      <w:r>
        <w:t>Luxurious Group exists to make premium opportunities easier to access while protecting the privacy, time and confidence of every client and partner.</w:t>
      </w:r>
    </w:p>
    <w:p>
      <w:pPr>
        <w:pStyle w:val="Heading2"/>
      </w:pPr>
      <w:r>
        <w:t>Vision Statement</w:t>
      </w:r>
    </w:p>
    <w:p>
      <w:pPr>
        <w:pStyle w:val="Callout"/>
        <w:shd w:fill="F4EEE1" w:val="clear"/>
        <w:pBdr>
          <w:left w:val="single" w:sz="24" w:space="8" w:color="9C7A38"/>
        </w:pBdr>
      </w:pPr>
      <w:r>
        <w:rPr>
          <w:rFonts w:ascii="Calibri" w:hAnsi="Calibri" w:eastAsia="Calibri"/>
          <w:b/>
          <w:color w:val="23364D"/>
          <w:sz w:val="24"/>
        </w:rPr>
        <w:t>To be the most trusted gateway to exceptional property, lifestyle and commercial opportunities for high-net-worth and discerning clients—recognised for uncompromising quality, privileged access and effortless convenience.</w:t>
      </w:r>
    </w:p>
    <w:p>
      <w:pPr>
        <w:pStyle w:val="Heading2"/>
      </w:pPr>
      <w:r>
        <w:t>Mission Statement</w:t>
      </w:r>
    </w:p>
    <w:p>
      <w:pPr>
        <w:pStyle w:val="Callout"/>
        <w:shd w:fill="EDF1F5" w:val="clear"/>
        <w:pBdr>
          <w:left w:val="single" w:sz="24" w:space="8" w:color="23364D"/>
        </w:pBdr>
      </w:pPr>
      <w:r>
        <w:rPr>
          <w:rFonts w:ascii="Calibri" w:hAnsi="Calibri" w:eastAsia="Calibri"/>
          <w:b/>
          <w:color w:val="23364D"/>
          <w:sz w:val="24"/>
        </w:rPr>
        <w:t>To bring carefully selected opportunities, services and expertise together through one connected, concierge-led ecosystem—delivering convenience without compromise and maintaining the strictest standards of privacy, discretion and personal care.</w:t>
      </w:r>
    </w:p>
    <w:p>
      <w:pPr>
        <w:pStyle w:val="Heading2"/>
      </w:pPr>
      <w:r>
        <w:t>Value Statement</w:t>
      </w:r>
    </w:p>
    <w:p>
      <w:pPr>
        <w:pStyle w:val="Lead"/>
      </w:pPr>
      <w:r>
        <w:rPr>
          <w:rFonts w:ascii="Calibri" w:hAnsi="Calibri" w:eastAsia="Calibri"/>
          <w:color w:val="23272B"/>
        </w:rPr>
        <w:t>At Luxurious Group, we believe enduring value is created through exceptional service, purposeful collaboration, honest feedback, dependable support and shared growth. We listen carefully, act with discretion and bring the right people and opportunities together so our clients, partners and communities can move forward with confidence.</w:t>
      </w:r>
    </w:p>
    <w:p>
      <w:pPr>
        <w:pStyle w:val="Heading2"/>
      </w:pPr>
      <w:r>
        <w:t>Our five values in practice</w:t>
      </w:r>
    </w:p>
    <w:p>
      <w:pPr>
        <w:keepLines/>
        <w:widowControl/>
        <w:spacing w:before="0" w:after="120" w:line="264" w:lineRule="auto"/>
      </w:pPr>
      <w:r>
        <w:rPr>
          <w:rFonts w:ascii="Calibri" w:hAnsi="Calibri" w:eastAsia="Calibri"/>
          <w:b/>
          <w:color w:val="23272B"/>
        </w:rPr>
        <w:t>Service.</w:t>
      </w:r>
      <w:r>
        <w:rPr>
          <w:rFonts w:ascii="Calibri" w:hAnsi="Calibri" w:eastAsia="Calibri"/>
          <w:color w:val="23272B"/>
        </w:rPr>
        <w:t xml:space="preserve"> We place the client experience first. We respond with care, protect our clients’ time and deliver with professionalism, discretion and close attention to detail.</w:t>
      </w:r>
    </w:p>
    <w:p>
      <w:pPr>
        <w:keepLines/>
        <w:widowControl/>
        <w:spacing w:before="0" w:after="120" w:line="264" w:lineRule="auto"/>
      </w:pPr>
      <w:r>
        <w:rPr>
          <w:rFonts w:ascii="Calibri" w:hAnsi="Calibri" w:eastAsia="Calibri"/>
          <w:b/>
          <w:color w:val="23272B"/>
        </w:rPr>
        <w:t>Collaboration.</w:t>
      </w:r>
      <w:r>
        <w:rPr>
          <w:rFonts w:ascii="Calibri" w:hAnsi="Calibri" w:eastAsia="Calibri"/>
          <w:color w:val="23272B"/>
        </w:rPr>
        <w:t xml:space="preserve"> We create stronger outcomes by connecting clients, partners and trusted specialists around a shared purpose, with clear roles and mutual respect.</w:t>
      </w:r>
    </w:p>
    <w:p>
      <w:pPr>
        <w:keepLines/>
        <w:widowControl/>
        <w:spacing w:before="0" w:after="120" w:line="264" w:lineRule="auto"/>
      </w:pPr>
      <w:r>
        <w:rPr>
          <w:rFonts w:ascii="Calibri" w:hAnsi="Calibri" w:eastAsia="Calibri"/>
          <w:b/>
          <w:color w:val="23272B"/>
        </w:rPr>
        <w:t>Feedback.</w:t>
      </w:r>
      <w:r>
        <w:rPr>
          <w:rFonts w:ascii="Calibri" w:hAnsi="Calibri" w:eastAsia="Calibri"/>
          <w:color w:val="23272B"/>
        </w:rPr>
        <w:t xml:space="preserve"> We listen actively and welcome candid input. We use feedback to improve quality, remove friction and refine every stage of the experience.</w:t>
      </w:r>
    </w:p>
    <w:p>
      <w:pPr>
        <w:keepLines/>
        <w:widowControl/>
        <w:spacing w:before="0" w:after="120" w:line="264" w:lineRule="auto"/>
      </w:pPr>
      <w:r>
        <w:rPr>
          <w:rFonts w:ascii="Calibri" w:hAnsi="Calibri" w:eastAsia="Calibri"/>
          <w:b/>
          <w:color w:val="23272B"/>
        </w:rPr>
        <w:t>Support.</w:t>
      </w:r>
      <w:r>
        <w:rPr>
          <w:rFonts w:ascii="Calibri" w:hAnsi="Calibri" w:eastAsia="Calibri"/>
          <w:color w:val="23272B"/>
        </w:rPr>
        <w:t xml:space="preserve"> We remain dependable and accessible from first enquiry through delivery. We communicate clearly, follow through on commitments and help people make informed decisions.</w:t>
      </w:r>
    </w:p>
    <w:p>
      <w:pPr>
        <w:keepLines/>
        <w:widowControl/>
        <w:spacing w:before="0" w:after="120" w:line="264" w:lineRule="auto"/>
      </w:pPr>
      <w:r>
        <w:rPr>
          <w:rFonts w:ascii="Calibri" w:hAnsi="Calibri" w:eastAsia="Calibri"/>
          <w:b/>
          <w:color w:val="23272B"/>
        </w:rPr>
        <w:t>Growth.</w:t>
      </w:r>
      <w:r>
        <w:rPr>
          <w:rFonts w:ascii="Calibri" w:hAnsi="Calibri" w:eastAsia="Calibri"/>
          <w:color w:val="23272B"/>
        </w:rPr>
        <w:t xml:space="preserve"> We pursue sustainable, responsible growth that creates new opportunities for clients, partners, our team and the communities in which we operate.</w:t>
      </w:r>
    </w:p>
    <w:p>
      <w:pPr>
        <w:pStyle w:val="Heading2"/>
      </w:pPr>
      <w:r>
        <w:t>Concise website versions</w:t>
      </w:r>
    </w:p>
    <w:p>
      <w:pPr>
        <w:widowControl/>
        <w:spacing w:before="0" w:after="60" w:line="264" w:lineRule="auto"/>
      </w:pPr>
      <w:r>
        <w:rPr>
          <w:rFonts w:ascii="Calibri" w:hAnsi="Calibri" w:eastAsia="Calibri"/>
          <w:b/>
          <w:color w:val="23364D"/>
        </w:rPr>
        <w:t xml:space="preserve">Vision: </w:t>
      </w:r>
      <w:r>
        <w:rPr>
          <w:rFonts w:ascii="Calibri" w:hAnsi="Calibri" w:eastAsia="Calibri"/>
          <w:color w:val="23272B"/>
        </w:rPr>
        <w:t>Exceptional quality. Privileged access. Effortless convenience.</w:t>
      </w:r>
    </w:p>
    <w:p>
      <w:pPr>
        <w:widowControl/>
        <w:spacing w:before="0" w:after="60" w:line="264" w:lineRule="auto"/>
      </w:pPr>
      <w:r>
        <w:rPr>
          <w:rFonts w:ascii="Calibri" w:hAnsi="Calibri" w:eastAsia="Calibri"/>
          <w:b/>
          <w:color w:val="23364D"/>
        </w:rPr>
        <w:t xml:space="preserve">Mission: </w:t>
      </w:r>
      <w:r>
        <w:rPr>
          <w:rFonts w:ascii="Calibri" w:hAnsi="Calibri" w:eastAsia="Calibri"/>
          <w:color w:val="23272B"/>
        </w:rPr>
        <w:t>We connect discerning clients to premium opportunities and services with convenience, discretion and uncompromising privacy.</w:t>
      </w:r>
    </w:p>
    <w:p>
      <w:pPr>
        <w:widowControl/>
        <w:spacing w:before="0" w:after="60" w:line="264" w:lineRule="auto"/>
      </w:pPr>
      <w:r>
        <w:rPr>
          <w:rFonts w:ascii="Calibri" w:hAnsi="Calibri" w:eastAsia="Calibri"/>
          <w:b/>
          <w:color w:val="23364D"/>
        </w:rPr>
        <w:t xml:space="preserve">Values: </w:t>
      </w:r>
      <w:r>
        <w:rPr>
          <w:rFonts w:ascii="Calibri" w:hAnsi="Calibri" w:eastAsia="Calibri"/>
          <w:color w:val="23272B"/>
        </w:rPr>
        <w:t>Service. Collaboration. Feedback. Support. Growth.</w:t>
      </w:r>
    </w:p>
    <w:p>
      <w:pPr>
        <w:pStyle w:val="Kicker"/>
      </w:pPr>
      <w:r>
        <w:t>SECTION 2</w:t>
      </w:r>
    </w:p>
    <w:p>
      <w:pPr>
        <w:pStyle w:val="Heading1"/>
        <w:spacing w:before="0"/>
      </w:pPr>
      <w:r>
        <w:t>Privacy Policy</w:t>
      </w:r>
    </w:p>
    <w:p>
      <w:pPr>
        <w:pStyle w:val="Lead"/>
        <w:keepNext/>
      </w:pPr>
      <w:r>
        <w:t>Luxurious Group recognises that privacy and discretion are central to the trust placed in us, particularly when serving high-net-worth clients, investors, property owners, partners and businesses.</w:t>
      </w:r>
    </w:p>
    <w:p>
      <w:pPr>
        <w:pStyle w:val="Callout"/>
        <w:shd w:fill="EDF1F5" w:val="clear"/>
        <w:pBdr>
          <w:left w:val="single" w:sz="20" w:space="8" w:color="9C7A38"/>
        </w:pBdr>
      </w:pPr>
      <w:r>
        <w:rPr>
          <w:rFonts w:ascii="Calibri" w:hAnsi="Calibri" w:eastAsia="Calibri"/>
          <w:b/>
          <w:color w:val="23364D"/>
        </w:rPr>
        <w:t xml:space="preserve">Website publication: </w:t>
      </w:r>
      <w:r>
        <w:rPr>
          <w:rFonts w:ascii="Calibri" w:hAnsi="Calibri" w:eastAsia="Calibri"/>
          <w:color w:val="23272B"/>
        </w:rPr>
        <w:t>Publish this policy at a permanent Privacy Policy URL and link it from every website footer and each form that collects personal information. Use a short collection notice beside the form rather than relying on the full policy alone.</w:t>
      </w:r>
    </w:p>
    <w:p>
      <w:pPr>
        <w:pStyle w:val="Heading2"/>
      </w:pPr>
      <w:r>
        <w:t>Effective date and operator</w:t>
      </w:r>
    </w:p>
    <w:p>
      <w:pPr>
        <w:widowControl/>
        <w:spacing w:before="0" w:after="120" w:line="264" w:lineRule="auto"/>
      </w:pPr>
      <w:r>
        <w:rPr>
          <w:rFonts w:ascii="Calibri" w:hAnsi="Calibri" w:eastAsia="Calibri"/>
          <w:color w:val="23272B"/>
        </w:rPr>
        <w:t>Effective 27 July 2026. This Privacy Policy is issued by Luxurious Group Australia Pty Ltd (ACN 657 084 065) (Luxurious Group, we, us or our), whose principal business address is 404/1 Como Crescent, Southport QLD 4215, Australia.</w:t>
      </w:r>
    </w:p>
    <w:p>
      <w:pPr>
        <w:widowControl/>
        <w:spacing w:before="0" w:after="120" w:line="264" w:lineRule="auto"/>
      </w:pPr>
      <w:r>
        <w:rPr>
          <w:rFonts w:ascii="Calibri" w:hAnsi="Calibri" w:eastAsia="Calibri"/>
          <w:color w:val="23272B"/>
        </w:rPr>
        <w:t>This Policy applies to www.luxuriousgroup.com.au and to any website, portal, directory, membership program, form, event or digital service that identifies Luxurious Group Australia Pty Ltd as its operator and links to this Policy (together, the Services). A separately incorporated entity may issue its own privacy policy; where it does, that policy applies to that entity’s activities.</w:t>
      </w:r>
    </w:p>
    <w:p>
      <w:pPr>
        <w:pStyle w:val="Heading2"/>
      </w:pPr>
      <w:r>
        <w:t>1. Our privacy commitment</w:t>
      </w:r>
    </w:p>
    <w:p>
      <w:pPr>
        <w:widowControl/>
        <w:spacing w:before="0" w:after="120" w:line="264" w:lineRule="auto"/>
      </w:pPr>
      <w:r>
        <w:rPr>
          <w:rFonts w:ascii="Calibri" w:hAnsi="Calibri" w:eastAsia="Calibri"/>
          <w:color w:val="23272B"/>
        </w:rPr>
        <w:t>We handle personal information in accordance with the Privacy Act 1988 (Cth), the Australian Privacy Principles (APPs) and other applicable Australian laws where they apply. Where a particular activity is not legally required to comply with every APP, our intention is to manage personal information in a manner consistent with the APPs wherever reasonably practicable.</w:t>
      </w:r>
    </w:p>
    <w:p>
      <w:pPr>
        <w:widowControl/>
        <w:spacing w:before="0" w:after="120" w:line="264" w:lineRule="auto"/>
      </w:pPr>
      <w:r>
        <w:rPr>
          <w:rFonts w:ascii="Calibri" w:hAnsi="Calibri" w:eastAsia="Calibri"/>
          <w:color w:val="23272B"/>
        </w:rPr>
        <w:t>We aim to collect only information reasonably needed for our functions, use it for clear and legitimate purposes, restrict access to people who need it, and apply safeguards proportionate to its sensitivity. Privacy is not treated as a website formality; it is part of our service standard.</w:t>
      </w:r>
    </w:p>
    <w:p>
      <w:pPr>
        <w:pStyle w:val="Heading2"/>
      </w:pPr>
      <w:r>
        <w:t>2. Key terms</w:t>
      </w:r>
    </w:p>
    <w:p>
      <w:pPr>
        <w:widowControl/>
        <w:spacing w:before="0" w:after="120" w:line="264" w:lineRule="auto"/>
      </w:pPr>
      <w:r>
        <w:rPr>
          <w:rFonts w:ascii="Calibri" w:hAnsi="Calibri" w:eastAsia="Calibri"/>
          <w:color w:val="23272B"/>
        </w:rPr>
        <w:t>Personal information is information or an opinion about an identified individual, or an individual who is reasonably identifiable, whether the information is true or recorded in material form. Sensitive information is a more protected category that may include health information, biometric information, racial or ethnic origin, religious beliefs, political opinions, sexual orientation, criminal record and certain professional or association memberships.</w:t>
      </w:r>
    </w:p>
    <w:p>
      <w:pPr>
        <w:widowControl/>
        <w:spacing w:before="0" w:after="120" w:line="264" w:lineRule="auto"/>
      </w:pPr>
      <w:r>
        <w:rPr>
          <w:rFonts w:ascii="Calibri" w:hAnsi="Calibri" w:eastAsia="Calibri"/>
          <w:color w:val="23272B"/>
        </w:rPr>
        <w:t>Business information about a company is not personal information by itself. However, a person’s name, direct contact details, role, opinions, transaction history or other information connected with that business may be personal information.</w:t>
      </w:r>
    </w:p>
    <w:p>
      <w:pPr>
        <w:pStyle w:val="Heading2"/>
      </w:pPr>
      <w:r>
        <w:t>3. Personal information we may collect and hold</w:t>
      </w:r>
    </w:p>
    <w:p>
      <w:pPr>
        <w:widowControl/>
        <w:spacing w:before="0" w:after="120" w:line="264" w:lineRule="auto"/>
      </w:pPr>
      <w:r>
        <w:rPr>
          <w:rFonts w:ascii="Calibri" w:hAnsi="Calibri" w:eastAsia="Calibri"/>
          <w:color w:val="23272B"/>
        </w:rPr>
        <w:t>The types of information we collect depend on how a person interacts with us. They may include:</w:t>
      </w:r>
    </w:p>
    <w:p>
      <w:pPr>
        <w:keepLines w:val="0"/>
        <w:widowControl/>
        <w:numPr>
          <w:ilvl w:val="0"/>
          <w:numId w:val="42"/>
        </w:numPr>
        <w:spacing w:after="160" w:line="280" w:lineRule="auto"/>
      </w:pPr>
      <w:r>
        <w:rPr>
          <w:rFonts w:ascii="Calibri" w:hAnsi="Calibri" w:eastAsia="Calibri"/>
          <w:b/>
          <w:color w:val="23272B"/>
        </w:rPr>
        <w:t>Identity and contact details:</w:t>
      </w:r>
      <w:r>
        <w:rPr>
          <w:rFonts w:ascii="Calibri" w:hAnsi="Calibri" w:eastAsia="Calibri"/>
          <w:color w:val="23272B"/>
        </w:rPr>
        <w:t xml:space="preserve"> name, title, date of birth where reasonably required, postal or street address, email address, telephone number, preferred method of contact and authorised representatives.</w:t>
      </w:r>
    </w:p>
    <w:p>
      <w:pPr>
        <w:keepLines w:val="0"/>
        <w:widowControl/>
        <w:numPr>
          <w:ilvl w:val="0"/>
          <w:numId w:val="42"/>
        </w:numPr>
        <w:spacing w:after="160" w:line="280" w:lineRule="auto"/>
      </w:pPr>
      <w:r>
        <w:rPr>
          <w:rFonts w:ascii="Calibri" w:hAnsi="Calibri" w:eastAsia="Calibri"/>
          <w:b/>
          <w:color w:val="23272B"/>
        </w:rPr>
        <w:t>Account, membership and directory details:</w:t>
      </w:r>
      <w:r>
        <w:rPr>
          <w:rFonts w:ascii="Calibri" w:hAnsi="Calibri" w:eastAsia="Calibri"/>
          <w:color w:val="23272B"/>
        </w:rPr>
        <w:t xml:space="preserve"> login or account identifiers, membership type, profile information, business category, listing content, service preferences, applications, approvals and participation history.</w:t>
      </w:r>
    </w:p>
    <w:p>
      <w:pPr>
        <w:keepLines w:val="0"/>
        <w:widowControl/>
        <w:numPr>
          <w:ilvl w:val="0"/>
          <w:numId w:val="42"/>
        </w:numPr>
        <w:spacing w:after="160" w:line="280" w:lineRule="auto"/>
      </w:pPr>
      <w:r>
        <w:rPr>
          <w:rFonts w:ascii="Calibri" w:hAnsi="Calibri" w:eastAsia="Calibri"/>
          <w:b/>
          <w:color w:val="23272B"/>
        </w:rPr>
        <w:t>Business and professional information:</w:t>
      </w:r>
      <w:r>
        <w:rPr>
          <w:rFonts w:ascii="Calibri" w:hAnsi="Calibri" w:eastAsia="Calibri"/>
          <w:color w:val="23272B"/>
        </w:rPr>
        <w:t xml:space="preserve"> company name, ACN or ABN, position, qualifications, licences, professional background, business ownership, authorised contacts and information needed to assess a supplier, listing, partner or opportunity.</w:t>
      </w:r>
    </w:p>
    <w:p>
      <w:pPr>
        <w:keepLines w:val="0"/>
        <w:widowControl/>
        <w:numPr>
          <w:ilvl w:val="0"/>
          <w:numId w:val="42"/>
        </w:numPr>
        <w:spacing w:after="160" w:line="280" w:lineRule="auto"/>
      </w:pPr>
      <w:r>
        <w:rPr>
          <w:rFonts w:ascii="Calibri" w:hAnsi="Calibri" w:eastAsia="Calibri"/>
          <w:b/>
          <w:color w:val="23272B"/>
        </w:rPr>
        <w:t>Client preferences and concierge information:</w:t>
      </w:r>
      <w:r>
        <w:rPr>
          <w:rFonts w:ascii="Calibri" w:hAnsi="Calibri" w:eastAsia="Calibri"/>
          <w:color w:val="23272B"/>
        </w:rPr>
        <w:t xml:space="preserve"> service preferences, locations of interest, scheduling needs, accessibility requirements, dietary preferences, travel or lifestyle preferences and other details voluntarily provided to personalise a service.</w:t>
      </w:r>
    </w:p>
    <w:p>
      <w:pPr>
        <w:keepLines w:val="0"/>
        <w:widowControl/>
        <w:numPr>
          <w:ilvl w:val="0"/>
          <w:numId w:val="42"/>
        </w:numPr>
        <w:spacing w:after="160" w:line="280" w:lineRule="auto"/>
      </w:pPr>
      <w:r>
        <w:rPr>
          <w:rFonts w:ascii="Calibri" w:hAnsi="Calibri" w:eastAsia="Calibri"/>
          <w:b/>
          <w:color w:val="23272B"/>
        </w:rPr>
        <w:t>Property, project and transaction information:</w:t>
      </w:r>
      <w:r>
        <w:rPr>
          <w:rFonts w:ascii="Calibri" w:hAnsi="Calibri" w:eastAsia="Calibri"/>
          <w:color w:val="23272B"/>
        </w:rPr>
        <w:t xml:space="preserve"> property interests, development or construction requirements, project details, budgets, indicative timeframes, plans, site information, due-diligence material and transaction communications.</w:t>
      </w:r>
    </w:p>
    <w:p>
      <w:pPr>
        <w:keepLines w:val="0"/>
        <w:widowControl/>
        <w:numPr>
          <w:ilvl w:val="0"/>
          <w:numId w:val="42"/>
        </w:numPr>
        <w:spacing w:after="160" w:line="280" w:lineRule="auto"/>
      </w:pPr>
      <w:r>
        <w:rPr>
          <w:rFonts w:ascii="Calibri" w:hAnsi="Calibri" w:eastAsia="Calibri"/>
          <w:b/>
          <w:color w:val="23272B"/>
        </w:rPr>
        <w:t>Financial, billing and verification information:</w:t>
      </w:r>
      <w:r>
        <w:rPr>
          <w:rFonts w:ascii="Calibri" w:hAnsi="Calibri" w:eastAsia="Calibri"/>
          <w:color w:val="23272B"/>
        </w:rPr>
        <w:t xml:space="preserve"> billing address, invoice and payment status, limited payment information, source-of-funds or financial-capacity information where reasonably required for an opportunity, and identification or verification records required by law, contract, insurers, financiers or professional advisers. Full payment-card details are generally processed by a payment provider rather than stored by us.</w:t>
      </w:r>
    </w:p>
    <w:p>
      <w:pPr>
        <w:keepLines w:val="0"/>
        <w:widowControl/>
        <w:numPr>
          <w:ilvl w:val="0"/>
          <w:numId w:val="42"/>
        </w:numPr>
        <w:spacing w:after="160" w:line="280" w:lineRule="auto"/>
      </w:pPr>
      <w:r>
        <w:rPr>
          <w:rFonts w:ascii="Calibri" w:hAnsi="Calibri" w:eastAsia="Calibri"/>
          <w:b/>
          <w:color w:val="23272B"/>
        </w:rPr>
        <w:t>Communications and relationship history:</w:t>
      </w:r>
      <w:r>
        <w:rPr>
          <w:rFonts w:ascii="Calibri" w:hAnsi="Calibri" w:eastAsia="Calibri"/>
          <w:color w:val="23272B"/>
        </w:rPr>
        <w:t xml:space="preserve"> emails, messages, call notes, meeting notes, enquiries, requests, complaints, feedback, survey responses, consents, marketing preferences and records of services or introductions.</w:t>
      </w:r>
    </w:p>
    <w:p>
      <w:pPr>
        <w:keepLines w:val="0"/>
        <w:widowControl/>
        <w:numPr>
          <w:ilvl w:val="0"/>
          <w:numId w:val="42"/>
        </w:numPr>
        <w:spacing w:after="160" w:line="280" w:lineRule="auto"/>
      </w:pPr>
      <w:r>
        <w:rPr>
          <w:rFonts w:ascii="Calibri" w:hAnsi="Calibri" w:eastAsia="Calibri"/>
          <w:b/>
          <w:color w:val="23272B"/>
        </w:rPr>
        <w:t>Images, audio and event information:</w:t>
      </w:r>
      <w:r>
        <w:rPr>
          <w:rFonts w:ascii="Calibri" w:hAnsi="Calibri" w:eastAsia="Calibri"/>
          <w:color w:val="23272B"/>
        </w:rPr>
        <w:t xml:space="preserve"> photographs, recordings, testimonials, attendance details and media permissions where a person participates in an event, interview, promotional activity or creative production.</w:t>
      </w:r>
    </w:p>
    <w:p>
      <w:pPr>
        <w:keepLines w:val="0"/>
        <w:widowControl/>
        <w:numPr>
          <w:ilvl w:val="0"/>
          <w:numId w:val="42"/>
        </w:numPr>
        <w:spacing w:after="160" w:line="280" w:lineRule="auto"/>
      </w:pPr>
      <w:r>
        <w:rPr>
          <w:rFonts w:ascii="Calibri" w:hAnsi="Calibri" w:eastAsia="Calibri"/>
          <w:b/>
          <w:color w:val="23272B"/>
        </w:rPr>
        <w:t>Technical and usage information:</w:t>
      </w:r>
      <w:r>
        <w:rPr>
          <w:rFonts w:ascii="Calibri" w:hAnsi="Calibri" w:eastAsia="Calibri"/>
          <w:color w:val="23272B"/>
        </w:rPr>
        <w:t xml:space="preserve"> IP address, device and browser type, approximate location derived from an IP address, cookie identifiers, pages viewed, links selected, referral source, date and time of access, form activity and security logs.</w:t>
      </w:r>
    </w:p>
    <w:p>
      <w:pPr>
        <w:keepLines w:val="0"/>
        <w:widowControl/>
        <w:numPr>
          <w:ilvl w:val="0"/>
          <w:numId w:val="42"/>
        </w:numPr>
        <w:spacing w:after="160" w:line="280" w:lineRule="auto"/>
      </w:pPr>
      <w:r>
        <w:rPr>
          <w:rFonts w:ascii="Calibri" w:hAnsi="Calibri" w:eastAsia="Calibri"/>
          <w:b/>
          <w:color w:val="23272B"/>
        </w:rPr>
        <w:t>Compliance, risk and security information:</w:t>
      </w:r>
      <w:r>
        <w:rPr>
          <w:rFonts w:ascii="Calibri" w:hAnsi="Calibri" w:eastAsia="Calibri"/>
          <w:color w:val="23272B"/>
        </w:rPr>
        <w:t xml:space="preserve"> identity-verification outcomes, authority to act, conflict checks, fraud or misuse indicators, incident records, legal correspondence and information reasonably necessary to protect people, property, systems and transactions.</w:t>
      </w:r>
    </w:p>
    <w:p>
      <w:pPr>
        <w:pStyle w:val="Heading2"/>
      </w:pPr>
      <w:r>
        <w:t>4. Sensitive information</w:t>
      </w:r>
    </w:p>
    <w:p>
      <w:pPr>
        <w:widowControl/>
        <w:spacing w:before="0" w:after="120" w:line="264" w:lineRule="auto"/>
      </w:pPr>
      <w:r>
        <w:rPr>
          <w:rFonts w:ascii="Calibri" w:hAnsi="Calibri" w:eastAsia="Calibri"/>
          <w:color w:val="23272B"/>
        </w:rPr>
        <w:t>We do not seek sensitive information unless it is reasonably necessary for a specific function or activity and we have consent, or collection is otherwise permitted or required by law. Please do not provide sensitive information through a general website form unless we have requested it and explained why it is needed.</w:t>
      </w:r>
    </w:p>
    <w:p>
      <w:pPr>
        <w:widowControl/>
        <w:spacing w:before="0" w:after="120" w:line="264" w:lineRule="auto"/>
      </w:pPr>
      <w:r>
        <w:rPr>
          <w:rFonts w:ascii="Calibri" w:hAnsi="Calibri" w:eastAsia="Calibri"/>
          <w:color w:val="23272B"/>
        </w:rPr>
        <w:t>If a client requests a highly personalised service, some preferences may reveal sensitive information. We will use that information only for the relevant purpose, restrict access and avoid recording more detail than is reasonably needed.</w:t>
      </w:r>
    </w:p>
    <w:p>
      <w:pPr>
        <w:pStyle w:val="Heading2"/>
      </w:pPr>
      <w:r>
        <w:t>5. How we collect personal information</w:t>
      </w:r>
    </w:p>
    <w:p>
      <w:pPr>
        <w:widowControl/>
        <w:spacing w:before="0" w:after="120" w:line="264" w:lineRule="auto"/>
      </w:pPr>
      <w:r>
        <w:rPr>
          <w:rFonts w:ascii="Calibri" w:hAnsi="Calibri" w:eastAsia="Calibri"/>
          <w:color w:val="23272B"/>
        </w:rPr>
        <w:t>We may collect personal information:</w:t>
      </w:r>
    </w:p>
    <w:p>
      <w:pPr>
        <w:keepLines w:val="0"/>
        <w:widowControl/>
        <w:numPr>
          <w:ilvl w:val="0"/>
          <w:numId w:val="42"/>
        </w:numPr>
        <w:spacing w:after="160" w:line="280" w:lineRule="auto"/>
      </w:pPr>
      <w:r>
        <w:rPr>
          <w:rFonts w:ascii="Calibri" w:hAnsi="Calibri" w:eastAsia="Calibri"/>
          <w:color w:val="23272B"/>
        </w:rPr>
        <w:t>directly from the individual through websites, forms, applications, registrations, bookings, calls, emails, meetings, events, contracts, surveys, correspondence and service interactions;</w:t>
      </w:r>
    </w:p>
    <w:p>
      <w:pPr>
        <w:keepLines w:val="0"/>
        <w:widowControl/>
        <w:numPr>
          <w:ilvl w:val="0"/>
          <w:numId w:val="42"/>
        </w:numPr>
        <w:spacing w:after="160" w:line="280" w:lineRule="auto"/>
      </w:pPr>
      <w:r>
        <w:rPr>
          <w:rFonts w:ascii="Calibri" w:hAnsi="Calibri" w:eastAsia="Calibri"/>
          <w:color w:val="23272B"/>
        </w:rPr>
        <w:t>from an authorised representative, company officer, adviser, referrer, joint applicant, family office, employer or other person acting with authority;</w:t>
      </w:r>
    </w:p>
    <w:p>
      <w:pPr>
        <w:keepLines w:val="0"/>
        <w:widowControl/>
        <w:numPr>
          <w:ilvl w:val="0"/>
          <w:numId w:val="42"/>
        </w:numPr>
        <w:spacing w:after="160" w:line="280" w:lineRule="auto"/>
      </w:pPr>
      <w:r>
        <w:rPr>
          <w:rFonts w:ascii="Calibri" w:hAnsi="Calibri" w:eastAsia="Calibri"/>
          <w:color w:val="23272B"/>
        </w:rPr>
        <w:t>from related entities, service providers, directory members, partners, suppliers, licensed professionals and transaction counterparties where the disclosure is authorised, reasonably expected or permitted by law;</w:t>
      </w:r>
    </w:p>
    <w:p>
      <w:pPr>
        <w:keepLines w:val="0"/>
        <w:widowControl/>
        <w:numPr>
          <w:ilvl w:val="0"/>
          <w:numId w:val="42"/>
        </w:numPr>
        <w:spacing w:after="160" w:line="280" w:lineRule="auto"/>
      </w:pPr>
      <w:r>
        <w:rPr>
          <w:rFonts w:ascii="Calibri" w:hAnsi="Calibri" w:eastAsia="Calibri"/>
          <w:color w:val="23272B"/>
        </w:rPr>
        <w:t>from public and commercial sources such as company registers, property records, professional registers, business websites, social-media profiles, event lists and identity or due-diligence providers, where lawful and appropriate; and</w:t>
      </w:r>
    </w:p>
    <w:p>
      <w:pPr>
        <w:keepLines w:val="0"/>
        <w:widowControl/>
        <w:numPr>
          <w:ilvl w:val="0"/>
          <w:numId w:val="42"/>
        </w:numPr>
        <w:spacing w:after="160" w:line="280" w:lineRule="auto"/>
      </w:pPr>
      <w:r>
        <w:rPr>
          <w:rFonts w:ascii="Calibri" w:hAnsi="Calibri" w:eastAsia="Calibri"/>
          <w:color w:val="23272B"/>
        </w:rPr>
        <w:t>automatically through cookies, analytics, log files and similar technologies when a person uses our digital Services.</w:t>
      </w:r>
    </w:p>
    <w:p>
      <w:pPr>
        <w:widowControl/>
        <w:spacing w:before="0" w:after="120" w:line="264" w:lineRule="auto"/>
      </w:pPr>
      <w:r>
        <w:rPr>
          <w:rFonts w:ascii="Calibri" w:hAnsi="Calibri" w:eastAsia="Calibri"/>
          <w:color w:val="23272B"/>
        </w:rPr>
        <w:t>If we receive unsolicited personal information, we will assess whether we could lawfully have collected it. If not, and retention is not required by law, we will take reasonable steps to destroy or de-identify it.</w:t>
      </w:r>
    </w:p>
    <w:p>
      <w:pPr>
        <w:pStyle w:val="Heading2"/>
      </w:pPr>
      <w:r>
        <w:t>6. Anonymity and pseudonymity</w:t>
      </w:r>
    </w:p>
    <w:p>
      <w:pPr>
        <w:widowControl/>
        <w:spacing w:before="0" w:after="120" w:line="264" w:lineRule="auto"/>
      </w:pPr>
      <w:r>
        <w:rPr>
          <w:rFonts w:ascii="Calibri" w:hAnsi="Calibri" w:eastAsia="Calibri"/>
          <w:color w:val="23272B"/>
        </w:rPr>
        <w:t>Where lawful and practicable, a person may make a general enquiry or browse public content without identifying themselves, or may use a pseudonym. We may need a person’s verified identity where it is required to provide a service, enter a contract, protect security, conduct due diligence, meet legal obligations, process a transaction or deal with a complaint or access request.</w:t>
      </w:r>
    </w:p>
    <w:p>
      <w:pPr>
        <w:pStyle w:val="Heading2"/>
      </w:pPr>
      <w:r>
        <w:t>7. If personal information is not provided</w:t>
      </w:r>
    </w:p>
    <w:p>
      <w:pPr>
        <w:widowControl/>
        <w:spacing w:before="0" w:after="120" w:line="264" w:lineRule="auto"/>
      </w:pPr>
      <w:r>
        <w:rPr>
          <w:rFonts w:ascii="Calibri" w:hAnsi="Calibri" w:eastAsia="Calibri"/>
          <w:color w:val="23272B"/>
        </w:rPr>
        <w:t>A person is not required to provide personal information merely to browse public pages. If requested information is not supplied, however, we may be unable to respond fully, assess an application, publish a listing, make an introduction, prepare a proposal, verify authority, complete a transaction, provide a tailored service or meet a legal obligation.</w:t>
      </w:r>
    </w:p>
    <w:p>
      <w:pPr>
        <w:pStyle w:val="Heading2"/>
      </w:pPr>
      <w:r>
        <w:t>8. Why we collect, hold, use and disclose information</w:t>
      </w:r>
    </w:p>
    <w:p>
      <w:pPr>
        <w:keepLines w:val="0"/>
        <w:widowControl/>
        <w:numPr>
          <w:ilvl w:val="0"/>
          <w:numId w:val="42"/>
        </w:numPr>
        <w:spacing w:after="160" w:line="280" w:lineRule="auto"/>
      </w:pPr>
      <w:r>
        <w:rPr>
          <w:rFonts w:ascii="Calibri" w:hAnsi="Calibri" w:eastAsia="Calibri"/>
          <w:color w:val="23272B"/>
        </w:rPr>
        <w:t>respond to enquiries and communicate with clients, prospective clients, members, investors, partners, suppliers and professional advisers;</w:t>
      </w:r>
    </w:p>
    <w:p>
      <w:pPr>
        <w:keepLines w:val="0"/>
        <w:widowControl/>
        <w:numPr>
          <w:ilvl w:val="0"/>
          <w:numId w:val="42"/>
        </w:numPr>
        <w:spacing w:after="160" w:line="280" w:lineRule="auto"/>
      </w:pPr>
      <w:r>
        <w:rPr>
          <w:rFonts w:ascii="Calibri" w:hAnsi="Calibri" w:eastAsia="Calibri"/>
          <w:color w:val="23272B"/>
        </w:rPr>
        <w:t>assess applications, memberships, listings, proposals, projects, opportunities, suppliers and commercial relationships;</w:t>
      </w:r>
    </w:p>
    <w:p>
      <w:pPr>
        <w:keepLines w:val="0"/>
        <w:widowControl/>
        <w:numPr>
          <w:ilvl w:val="0"/>
          <w:numId w:val="42"/>
        </w:numPr>
        <w:spacing w:after="160" w:line="280" w:lineRule="auto"/>
      </w:pPr>
      <w:r>
        <w:rPr>
          <w:rFonts w:ascii="Calibri" w:hAnsi="Calibri" w:eastAsia="Calibri"/>
          <w:color w:val="23272B"/>
        </w:rPr>
        <w:t>provide, coordinate and improve property, lifestyle, concierge, marketing, directory, membership, media, project and strategic-partnership services;</w:t>
      </w:r>
    </w:p>
    <w:p>
      <w:pPr>
        <w:keepLines w:val="0"/>
        <w:widowControl/>
        <w:numPr>
          <w:ilvl w:val="0"/>
          <w:numId w:val="42"/>
        </w:numPr>
        <w:spacing w:after="160" w:line="280" w:lineRule="auto"/>
      </w:pPr>
      <w:r>
        <w:rPr>
          <w:rFonts w:ascii="Calibri" w:hAnsi="Calibri" w:eastAsia="Calibri"/>
          <w:color w:val="23272B"/>
        </w:rPr>
        <w:t>match a client or opportunity with an appropriate independent supplier, licensed professional, partner or counterparty, where authorised or reasonably expected;</w:t>
      </w:r>
    </w:p>
    <w:p>
      <w:pPr>
        <w:keepLines w:val="0"/>
        <w:widowControl/>
        <w:numPr>
          <w:ilvl w:val="0"/>
          <w:numId w:val="42"/>
        </w:numPr>
        <w:spacing w:after="160" w:line="280" w:lineRule="auto"/>
      </w:pPr>
      <w:r>
        <w:rPr>
          <w:rFonts w:ascii="Calibri" w:hAnsi="Calibri" w:eastAsia="Calibri"/>
          <w:color w:val="23272B"/>
        </w:rPr>
        <w:t>prepare quotations, proposals, contracts, instructions, project plans, invoices, updates and transaction records;</w:t>
      </w:r>
    </w:p>
    <w:p>
      <w:pPr>
        <w:keepLines w:val="0"/>
        <w:widowControl/>
        <w:numPr>
          <w:ilvl w:val="0"/>
          <w:numId w:val="42"/>
        </w:numPr>
        <w:spacing w:after="160" w:line="280" w:lineRule="auto"/>
      </w:pPr>
      <w:r>
        <w:rPr>
          <w:rFonts w:ascii="Calibri" w:hAnsi="Calibri" w:eastAsia="Calibri"/>
          <w:color w:val="23272B"/>
        </w:rPr>
        <w:t>verify identity, authority, qualifications, licences, conflicts, ownership, financial capacity or other due-diligence matters where reasonably required;</w:t>
      </w:r>
    </w:p>
    <w:p>
      <w:pPr>
        <w:keepLines w:val="0"/>
        <w:widowControl/>
        <w:numPr>
          <w:ilvl w:val="0"/>
          <w:numId w:val="42"/>
        </w:numPr>
        <w:spacing w:after="160" w:line="280" w:lineRule="auto"/>
      </w:pPr>
      <w:r>
        <w:rPr>
          <w:rFonts w:ascii="Calibri" w:hAnsi="Calibri" w:eastAsia="Calibri"/>
          <w:color w:val="23272B"/>
        </w:rPr>
        <w:t>process payments and administer accounts, subscriptions, fees, commissions, refunds, records and debt recovery;</w:t>
      </w:r>
    </w:p>
    <w:p>
      <w:pPr>
        <w:keepLines w:val="0"/>
        <w:widowControl/>
        <w:numPr>
          <w:ilvl w:val="0"/>
          <w:numId w:val="42"/>
        </w:numPr>
        <w:spacing w:after="160" w:line="280" w:lineRule="auto"/>
      </w:pPr>
      <w:r>
        <w:rPr>
          <w:rFonts w:ascii="Calibri" w:hAnsi="Calibri" w:eastAsia="Calibri"/>
          <w:color w:val="23272B"/>
        </w:rPr>
        <w:t>personalise communications, invitations, content and service recommendations;</w:t>
      </w:r>
    </w:p>
    <w:p>
      <w:pPr>
        <w:keepLines w:val="0"/>
        <w:widowControl/>
        <w:numPr>
          <w:ilvl w:val="0"/>
          <w:numId w:val="42"/>
        </w:numPr>
        <w:spacing w:after="160" w:line="280" w:lineRule="auto"/>
      </w:pPr>
      <w:r>
        <w:rPr>
          <w:rFonts w:ascii="Calibri" w:hAnsi="Calibri" w:eastAsia="Calibri"/>
          <w:color w:val="23272B"/>
        </w:rPr>
        <w:t>send service communications and, with consent or as otherwise permitted, marketing communications about relevant opportunities, services, events and updates;</w:t>
      </w:r>
    </w:p>
    <w:p>
      <w:pPr>
        <w:keepLines w:val="0"/>
        <w:widowControl/>
        <w:numPr>
          <w:ilvl w:val="0"/>
          <w:numId w:val="42"/>
        </w:numPr>
        <w:spacing w:after="160" w:line="280" w:lineRule="auto"/>
      </w:pPr>
      <w:r>
        <w:rPr>
          <w:rFonts w:ascii="Calibri" w:hAnsi="Calibri" w:eastAsia="Calibri"/>
          <w:color w:val="23272B"/>
        </w:rPr>
        <w:t>operate, protect, troubleshoot and improve our websites, systems, records, facilities and business processes;</w:t>
      </w:r>
    </w:p>
    <w:p>
      <w:pPr>
        <w:keepLines w:val="0"/>
        <w:widowControl/>
        <w:numPr>
          <w:ilvl w:val="0"/>
          <w:numId w:val="42"/>
        </w:numPr>
        <w:spacing w:after="160" w:line="280" w:lineRule="auto"/>
      </w:pPr>
      <w:r>
        <w:rPr>
          <w:rFonts w:ascii="Calibri" w:hAnsi="Calibri" w:eastAsia="Calibri"/>
          <w:color w:val="23272B"/>
        </w:rPr>
        <w:t>detect or prevent fraud, cyber incidents, misuse, unlawful activity and threats to people, property or systems;</w:t>
      </w:r>
    </w:p>
    <w:p>
      <w:pPr>
        <w:keepLines w:val="0"/>
        <w:widowControl/>
        <w:numPr>
          <w:ilvl w:val="0"/>
          <w:numId w:val="42"/>
        </w:numPr>
        <w:spacing w:after="160" w:line="280" w:lineRule="auto"/>
      </w:pPr>
      <w:r>
        <w:rPr>
          <w:rFonts w:ascii="Calibri" w:hAnsi="Calibri" w:eastAsia="Calibri"/>
          <w:color w:val="23272B"/>
        </w:rPr>
        <w:t>conduct analytics, audits, training, quality assurance, research, business planning and reporting, including by using aggregated or de-identified information where practicable;</w:t>
      </w:r>
    </w:p>
    <w:p>
      <w:pPr>
        <w:keepLines w:val="0"/>
        <w:widowControl/>
        <w:numPr>
          <w:ilvl w:val="0"/>
          <w:numId w:val="42"/>
        </w:numPr>
        <w:spacing w:after="160" w:line="280" w:lineRule="auto"/>
      </w:pPr>
      <w:r>
        <w:rPr>
          <w:rFonts w:ascii="Calibri" w:hAnsi="Calibri" w:eastAsia="Calibri"/>
          <w:color w:val="23272B"/>
        </w:rPr>
        <w:t>manage complaints, disputes, insurance, legal claims and regulatory enquiries; and</w:t>
      </w:r>
    </w:p>
    <w:p>
      <w:pPr>
        <w:keepLines w:val="0"/>
        <w:widowControl/>
        <w:numPr>
          <w:ilvl w:val="0"/>
          <w:numId w:val="42"/>
        </w:numPr>
        <w:spacing w:after="160" w:line="280" w:lineRule="auto"/>
      </w:pPr>
      <w:r>
        <w:rPr>
          <w:rFonts w:ascii="Calibri" w:hAnsi="Calibri" w:eastAsia="Calibri"/>
          <w:color w:val="23272B"/>
        </w:rPr>
        <w:t>comply with contracts, court or tribunal orders and applicable laws.</w:t>
      </w:r>
    </w:p>
    <w:p>
      <w:pPr>
        <w:pStyle w:val="Heading2"/>
      </w:pPr>
      <w:r>
        <w:t>9. When we may disclose personal information</w:t>
      </w:r>
    </w:p>
    <w:p>
      <w:pPr>
        <w:widowControl/>
        <w:spacing w:before="0" w:after="120" w:line="264" w:lineRule="auto"/>
      </w:pPr>
      <w:r>
        <w:rPr>
          <w:rFonts w:ascii="Calibri" w:hAnsi="Calibri" w:eastAsia="Calibri"/>
          <w:color w:val="23272B"/>
        </w:rPr>
        <w:t>We do not sell or rent personal information as a standalone commercial product. We may disclose information where reasonably necessary for a purpose described in this Policy, including to:</w:t>
      </w:r>
    </w:p>
    <w:p>
      <w:pPr>
        <w:keepLines w:val="0"/>
        <w:widowControl/>
        <w:numPr>
          <w:ilvl w:val="0"/>
          <w:numId w:val="42"/>
        </w:numPr>
        <w:spacing w:after="160" w:line="280" w:lineRule="auto"/>
      </w:pPr>
      <w:r>
        <w:rPr>
          <w:rFonts w:ascii="Calibri" w:hAnsi="Calibri" w:eastAsia="Calibri"/>
          <w:b/>
          <w:color w:val="23272B"/>
        </w:rPr>
        <w:t>Luxurious Group personnel:</w:t>
      </w:r>
      <w:r>
        <w:rPr>
          <w:rFonts w:ascii="Calibri" w:hAnsi="Calibri" w:eastAsia="Calibri"/>
          <w:color w:val="23272B"/>
        </w:rPr>
        <w:t xml:space="preserve"> directors, employees, contractors and authorised representatives who require access for their role and are subject to confidentiality and security obligations.</w:t>
      </w:r>
    </w:p>
    <w:p>
      <w:pPr>
        <w:keepLines w:val="0"/>
        <w:widowControl/>
        <w:numPr>
          <w:ilvl w:val="0"/>
          <w:numId w:val="42"/>
        </w:numPr>
        <w:spacing w:after="160" w:line="280" w:lineRule="auto"/>
      </w:pPr>
      <w:r>
        <w:rPr>
          <w:rFonts w:ascii="Calibri" w:hAnsi="Calibri" w:eastAsia="Calibri"/>
          <w:b/>
          <w:color w:val="23272B"/>
        </w:rPr>
        <w:t>Related operations:</w:t>
      </w:r>
      <w:r>
        <w:rPr>
          <w:rFonts w:ascii="Calibri" w:hAnsi="Calibri" w:eastAsia="Calibri"/>
          <w:color w:val="23272B"/>
        </w:rPr>
        <w:t xml:space="preserve"> related bodies corporate, divisions, trading brands or project entities where necessary to respond to an enquiry or provide a connected service, subject to applicable privacy requirements.</w:t>
      </w:r>
    </w:p>
    <w:p>
      <w:pPr>
        <w:keepLines w:val="0"/>
        <w:widowControl/>
        <w:numPr>
          <w:ilvl w:val="0"/>
          <w:numId w:val="42"/>
        </w:numPr>
        <w:spacing w:after="160" w:line="280" w:lineRule="auto"/>
      </w:pPr>
      <w:r>
        <w:rPr>
          <w:rFonts w:ascii="Calibri" w:hAnsi="Calibri" w:eastAsia="Calibri"/>
          <w:b/>
          <w:color w:val="23272B"/>
        </w:rPr>
        <w:t>Operational providers:</w:t>
      </w:r>
      <w:r>
        <w:rPr>
          <w:rFonts w:ascii="Calibri" w:hAnsi="Calibri" w:eastAsia="Calibri"/>
          <w:color w:val="23272B"/>
        </w:rPr>
        <w:t xml:space="preserve"> website hosts, cloud storage, email, CRM, analytics, cybersecurity, identity-verification, accounting, payment, document-signing, booking, customer-support, marketing and professional-service providers.</w:t>
      </w:r>
    </w:p>
    <w:p>
      <w:pPr>
        <w:keepLines w:val="0"/>
        <w:widowControl/>
        <w:numPr>
          <w:ilvl w:val="0"/>
          <w:numId w:val="42"/>
        </w:numPr>
        <w:spacing w:after="160" w:line="280" w:lineRule="auto"/>
      </w:pPr>
      <w:r>
        <w:rPr>
          <w:rFonts w:ascii="Calibri" w:hAnsi="Calibri" w:eastAsia="Calibri"/>
          <w:b/>
          <w:color w:val="23272B"/>
        </w:rPr>
        <w:t>Specialists and advisers:</w:t>
      </w:r>
      <w:r>
        <w:rPr>
          <w:rFonts w:ascii="Calibri" w:hAnsi="Calibri" w:eastAsia="Calibri"/>
          <w:color w:val="23272B"/>
        </w:rPr>
        <w:t xml:space="preserve"> lawyers, accountants, auditors, insurers, financiers, valuers, engineers, certifiers, designers, builders, real estate professionals and other appropriately qualified or licensed providers.</w:t>
      </w:r>
    </w:p>
    <w:p>
      <w:pPr>
        <w:keepLines w:val="0"/>
        <w:widowControl/>
        <w:numPr>
          <w:ilvl w:val="0"/>
          <w:numId w:val="42"/>
        </w:numPr>
        <w:spacing w:after="160" w:line="280" w:lineRule="auto"/>
      </w:pPr>
      <w:r>
        <w:rPr>
          <w:rFonts w:ascii="Calibri" w:hAnsi="Calibri" w:eastAsia="Calibri"/>
          <w:b/>
          <w:color w:val="23272B"/>
        </w:rPr>
        <w:t>Commercial participants:</w:t>
      </w:r>
      <w:r>
        <w:rPr>
          <w:rFonts w:ascii="Calibri" w:hAnsi="Calibri" w:eastAsia="Calibri"/>
          <w:color w:val="23272B"/>
        </w:rPr>
        <w:t xml:space="preserve"> directory members, listing partners, suppliers, vendors, purchasers, investors, developers, referrers, sponsors, event partners and transaction counterparties where disclosure is authorised, required to progress a request or reasonably expected in the circumstances.</w:t>
      </w:r>
    </w:p>
    <w:p>
      <w:pPr>
        <w:keepLines w:val="0"/>
        <w:widowControl/>
        <w:numPr>
          <w:ilvl w:val="0"/>
          <w:numId w:val="42"/>
        </w:numPr>
        <w:spacing w:after="160" w:line="280" w:lineRule="auto"/>
      </w:pPr>
      <w:r>
        <w:rPr>
          <w:rFonts w:ascii="Calibri" w:hAnsi="Calibri" w:eastAsia="Calibri"/>
          <w:b/>
          <w:color w:val="23272B"/>
        </w:rPr>
        <w:t>Authorities and protected parties:</w:t>
      </w:r>
      <w:r>
        <w:rPr>
          <w:rFonts w:ascii="Calibri" w:hAnsi="Calibri" w:eastAsia="Calibri"/>
          <w:color w:val="23272B"/>
        </w:rPr>
        <w:t xml:space="preserve"> courts, tribunals, regulators, government bodies, law-enforcement agencies, emergency services or other parties where disclosure is required or authorised by law, needed to protect legal rights or necessary to reduce a serious threat.</w:t>
      </w:r>
    </w:p>
    <w:p>
      <w:pPr>
        <w:keepLines w:val="0"/>
        <w:widowControl/>
        <w:numPr>
          <w:ilvl w:val="0"/>
          <w:numId w:val="42"/>
        </w:numPr>
        <w:spacing w:after="160" w:line="280" w:lineRule="auto"/>
      </w:pPr>
      <w:r>
        <w:rPr>
          <w:rFonts w:ascii="Calibri" w:hAnsi="Calibri" w:eastAsia="Calibri"/>
          <w:b/>
          <w:color w:val="23272B"/>
        </w:rPr>
        <w:t>Corporate transactions:</w:t>
      </w:r>
      <w:r>
        <w:rPr>
          <w:rFonts w:ascii="Calibri" w:hAnsi="Calibri" w:eastAsia="Calibri"/>
          <w:color w:val="23272B"/>
        </w:rPr>
        <w:t xml:space="preserve"> a bona fide prospective purchaser, investor, funder or adviser in connection with a proposed restructure, investment, financing, merger, sale or transfer of all or part of a business, subject to appropriate confidentiality protections.</w:t>
      </w:r>
    </w:p>
    <w:p>
      <w:pPr>
        <w:widowControl/>
        <w:spacing w:before="0" w:after="120" w:line="264" w:lineRule="auto"/>
      </w:pPr>
      <w:r>
        <w:rPr>
          <w:rFonts w:ascii="Calibri" w:hAnsi="Calibri" w:eastAsia="Calibri"/>
          <w:color w:val="23272B"/>
        </w:rPr>
        <w:t>We seek to disclose only the information reasonably necessary for the relevant purpose. An introduction or disclosure does not make an independent provider an employee, agent or representative of Luxurious Group unless expressly agreed in writing.</w:t>
      </w:r>
    </w:p>
    <w:p>
      <w:pPr>
        <w:pStyle w:val="Heading2"/>
      </w:pPr>
      <w:r>
        <w:t>10. Directory, listing and publicly displayed information</w:t>
      </w:r>
    </w:p>
    <w:p>
      <w:pPr>
        <w:widowControl/>
        <w:spacing w:before="0" w:after="120" w:line="264" w:lineRule="auto"/>
      </w:pPr>
      <w:r>
        <w:rPr>
          <w:rFonts w:ascii="Calibri" w:hAnsi="Calibri" w:eastAsia="Calibri"/>
          <w:color w:val="23272B"/>
        </w:rPr>
        <w:t>Information submitted for a business directory, partner profile, property listing, testimonial, event or promotional feature may be intended for public display. Before publication, the person or business submitting it must have authority to provide it and must ensure that names, photographs, contact details and other personal information are accurate and approved for publication.</w:t>
      </w:r>
    </w:p>
    <w:p>
      <w:pPr>
        <w:widowControl/>
        <w:spacing w:before="0" w:after="120" w:line="264" w:lineRule="auto"/>
      </w:pPr>
      <w:r>
        <w:rPr>
          <w:rFonts w:ascii="Calibri" w:hAnsi="Calibri" w:eastAsia="Calibri"/>
          <w:color w:val="23272B"/>
        </w:rPr>
        <w:t>Public information may be indexed by search engines, copied or shared by third parties and accessed outside Australia. We will consider reasonable correction or removal requests, but we cannot guarantee removal from independent search engines, archives or third-party copies.</w:t>
      </w:r>
    </w:p>
    <w:p>
      <w:pPr>
        <w:pStyle w:val="Heading2"/>
      </w:pPr>
      <w:r>
        <w:t>11. Direct marketing and communications</w:t>
      </w:r>
    </w:p>
    <w:p>
      <w:pPr>
        <w:widowControl/>
        <w:spacing w:before="0" w:after="120" w:line="264" w:lineRule="auto"/>
      </w:pPr>
      <w:r>
        <w:rPr>
          <w:rFonts w:ascii="Calibri" w:hAnsi="Calibri" w:eastAsia="Calibri"/>
          <w:color w:val="23272B"/>
        </w:rPr>
        <w:t>We may send information about services, opportunities, events, content or partner offers where a person has consented or where otherwise permitted by law. Commercial electronic messages will identify the sender and provide a functional unsubscribe method. We will action an unsubscribe request within the period required by law, generally within five working days for messages covered by the Spam Act 2003 (Cth).</w:t>
      </w:r>
    </w:p>
    <w:p>
      <w:pPr>
        <w:widowControl/>
        <w:spacing w:before="0" w:after="120" w:line="264" w:lineRule="auto"/>
      </w:pPr>
      <w:r>
        <w:rPr>
          <w:rFonts w:ascii="Calibri" w:hAnsi="Calibri" w:eastAsia="Calibri"/>
          <w:color w:val="23272B"/>
        </w:rPr>
        <w:t>A person can opt out at any time by using the unsubscribe facility or contacting us. Opting out of marketing does not prevent us from sending necessary administrative, transactional, safety, legal or service messages. We do not use address-harvesting software and expect any marketing list used on our behalf to have a lawful consent basis.</w:t>
      </w:r>
    </w:p>
    <w:p>
      <w:pPr>
        <w:pStyle w:val="Heading2"/>
      </w:pPr>
      <w:r>
        <w:t>12. Cookies, analytics and similar technologies</w:t>
      </w:r>
    </w:p>
    <w:p>
      <w:pPr>
        <w:widowControl/>
        <w:spacing w:before="0" w:after="120" w:line="264" w:lineRule="auto"/>
      </w:pPr>
      <w:r>
        <w:rPr>
          <w:rFonts w:ascii="Calibri" w:hAnsi="Calibri" w:eastAsia="Calibri"/>
          <w:color w:val="23272B"/>
        </w:rPr>
        <w:t>Our websites may use cookies, pixels, tags, log files and similar technologies to operate essential functions, remember preferences, understand use, measure performance, improve content, protect security and assess marketing effectiveness. Some technologies may be supplied by third parties.</w:t>
      </w:r>
    </w:p>
    <w:p>
      <w:pPr>
        <w:widowControl/>
        <w:spacing w:before="0" w:after="120" w:line="264" w:lineRule="auto"/>
      </w:pPr>
      <w:r>
        <w:rPr>
          <w:rFonts w:ascii="Calibri" w:hAnsi="Calibri" w:eastAsia="Calibri"/>
          <w:color w:val="23272B"/>
        </w:rPr>
        <w:t>Browser settings may allow a person to block or delete cookies. Doing so may affect website functions. Where consent is legally required for a particular technology, we will seek it through an appropriate notice or preference tool.</w:t>
      </w:r>
    </w:p>
    <w:p>
      <w:pPr>
        <w:pStyle w:val="Heading2"/>
      </w:pPr>
      <w:r>
        <w:t>13. Automated tools and artificial intelligence</w:t>
      </w:r>
    </w:p>
    <w:p>
      <w:pPr>
        <w:widowControl/>
        <w:spacing w:before="0" w:after="120" w:line="264" w:lineRule="auto"/>
      </w:pPr>
      <w:r>
        <w:rPr>
          <w:rFonts w:ascii="Calibri" w:hAnsi="Calibri" w:eastAsia="Calibri"/>
          <w:color w:val="23272B"/>
        </w:rPr>
        <w:t>We may use automated tools to support administrative tasks such as sorting enquiries, detecting duplicate or suspicious activity, analysing website use, recommending content, preparing drafts and prioritising follow-up. Material decisions remain subject to appropriate human oversight.</w:t>
      </w:r>
    </w:p>
    <w:p>
      <w:pPr>
        <w:widowControl/>
        <w:spacing w:before="0" w:after="120" w:line="264" w:lineRule="auto"/>
      </w:pPr>
      <w:r>
        <w:rPr>
          <w:rFonts w:ascii="Calibri" w:hAnsi="Calibri" w:eastAsia="Calibri"/>
          <w:color w:val="23272B"/>
        </w:rPr>
        <w:t>At the effective date of this Policy, we do not rely solely on automated processing to make decisions that could reasonably be expected to significantly affect an individual’s rights or interests. If that practice changes, we will update this Policy to describe the kinds of personal information used and the kinds of decisions made or supported by computer programs, as required by law.</w:t>
      </w:r>
    </w:p>
    <w:p>
      <w:pPr>
        <w:pStyle w:val="Heading2"/>
      </w:pPr>
      <w:r>
        <w:t>14. Overseas disclosure and processing</w:t>
      </w:r>
    </w:p>
    <w:p>
      <w:pPr>
        <w:widowControl/>
        <w:spacing w:before="0" w:after="120" w:line="264" w:lineRule="auto"/>
      </w:pPr>
      <w:r>
        <w:rPr>
          <w:rFonts w:ascii="Calibri" w:hAnsi="Calibri" w:eastAsia="Calibri"/>
          <w:color w:val="23272B"/>
        </w:rPr>
        <w:t>Some technology, professional, marketing, travel, booking, cloud, security or transaction providers may store, access or process personal information outside Australia. Depending on the providers and services used, likely locations may include the United States, the United Kingdom, countries within the European Economic Area, New Zealand and Singapore, as well as other locations notified at or before collection where practicable.</w:t>
      </w:r>
    </w:p>
    <w:p>
      <w:pPr>
        <w:widowControl/>
        <w:spacing w:before="0" w:after="120" w:line="264" w:lineRule="auto"/>
      </w:pPr>
      <w:r>
        <w:rPr>
          <w:rFonts w:ascii="Calibri" w:hAnsi="Calibri" w:eastAsia="Calibri"/>
          <w:color w:val="23272B"/>
        </w:rPr>
        <w:t>Before disclosing personal information to an overseas recipient, we will take reasonable steps required by APP 8 or rely on an applicable exception. Overseas laws and protections may differ from Australian law.</w:t>
      </w:r>
    </w:p>
    <w:p>
      <w:pPr>
        <w:pStyle w:val="Heading2"/>
      </w:pPr>
      <w:r>
        <w:t>15. How we hold and protect personal information</w:t>
      </w:r>
    </w:p>
    <w:p>
      <w:pPr>
        <w:widowControl/>
        <w:spacing w:before="0" w:after="120" w:line="264" w:lineRule="auto"/>
      </w:pPr>
      <w:r>
        <w:rPr>
          <w:rFonts w:ascii="Calibri" w:hAnsi="Calibri" w:eastAsia="Calibri"/>
          <w:color w:val="23272B"/>
        </w:rPr>
        <w:t>Personal information may be held in electronic systems, cloud platforms, email, databases, accounting or customer-management systems, document repositories, secure devices and, where necessary, physical files. We take reasonable administrative, physical and technical steps appropriate to the nature of the information and risk, which may include:</w:t>
      </w:r>
    </w:p>
    <w:p>
      <w:pPr>
        <w:keepLines w:val="0"/>
        <w:widowControl/>
        <w:numPr>
          <w:ilvl w:val="0"/>
          <w:numId w:val="42"/>
        </w:numPr>
        <w:spacing w:after="160" w:line="280" w:lineRule="auto"/>
      </w:pPr>
      <w:r>
        <w:rPr>
          <w:rFonts w:ascii="Calibri" w:hAnsi="Calibri" w:eastAsia="Calibri"/>
          <w:color w:val="23272B"/>
        </w:rPr>
        <w:t>role-based access and need-to-know restrictions;</w:t>
      </w:r>
    </w:p>
    <w:p>
      <w:pPr>
        <w:keepLines w:val="0"/>
        <w:widowControl/>
        <w:numPr>
          <w:ilvl w:val="0"/>
          <w:numId w:val="42"/>
        </w:numPr>
        <w:spacing w:after="160" w:line="280" w:lineRule="auto"/>
      </w:pPr>
      <w:r>
        <w:rPr>
          <w:rFonts w:ascii="Calibri" w:hAnsi="Calibri" w:eastAsia="Calibri"/>
          <w:color w:val="23272B"/>
        </w:rPr>
        <w:t>confidentiality obligations for personnel and service providers;</w:t>
      </w:r>
    </w:p>
    <w:p>
      <w:pPr>
        <w:keepLines w:val="0"/>
        <w:widowControl/>
        <w:numPr>
          <w:ilvl w:val="0"/>
          <w:numId w:val="42"/>
        </w:numPr>
        <w:spacing w:after="160" w:line="280" w:lineRule="auto"/>
      </w:pPr>
      <w:r>
        <w:rPr>
          <w:rFonts w:ascii="Calibri" w:hAnsi="Calibri" w:eastAsia="Calibri"/>
          <w:color w:val="23272B"/>
        </w:rPr>
        <w:t>authentication, password, device and account-security controls;</w:t>
      </w:r>
    </w:p>
    <w:p>
      <w:pPr>
        <w:keepLines w:val="0"/>
        <w:widowControl/>
        <w:numPr>
          <w:ilvl w:val="0"/>
          <w:numId w:val="42"/>
        </w:numPr>
        <w:spacing w:after="160" w:line="280" w:lineRule="auto"/>
      </w:pPr>
      <w:r>
        <w:rPr>
          <w:rFonts w:ascii="Calibri" w:hAnsi="Calibri" w:eastAsia="Calibri"/>
          <w:color w:val="23272B"/>
        </w:rPr>
        <w:t>secure transmission or encryption where appropriate;</w:t>
      </w:r>
    </w:p>
    <w:p>
      <w:pPr>
        <w:keepLines w:val="0"/>
        <w:widowControl/>
        <w:numPr>
          <w:ilvl w:val="0"/>
          <w:numId w:val="42"/>
        </w:numPr>
        <w:spacing w:after="160" w:line="280" w:lineRule="auto"/>
      </w:pPr>
      <w:r>
        <w:rPr>
          <w:rFonts w:ascii="Calibri" w:hAnsi="Calibri" w:eastAsia="Calibri"/>
          <w:color w:val="23272B"/>
        </w:rPr>
        <w:t>backups, monitoring, anti-malware and incident-response processes;</w:t>
      </w:r>
    </w:p>
    <w:p>
      <w:pPr>
        <w:keepLines w:val="0"/>
        <w:widowControl/>
        <w:numPr>
          <w:ilvl w:val="0"/>
          <w:numId w:val="42"/>
        </w:numPr>
        <w:spacing w:after="160" w:line="280" w:lineRule="auto"/>
      </w:pPr>
      <w:r>
        <w:rPr>
          <w:rFonts w:ascii="Calibri" w:hAnsi="Calibri" w:eastAsia="Calibri"/>
          <w:color w:val="23272B"/>
        </w:rPr>
        <w:t>provider due diligence and contractual privacy or security terms;</w:t>
      </w:r>
    </w:p>
    <w:p>
      <w:pPr>
        <w:keepLines w:val="0"/>
        <w:widowControl/>
        <w:numPr>
          <w:ilvl w:val="0"/>
          <w:numId w:val="42"/>
        </w:numPr>
        <w:spacing w:after="160" w:line="280" w:lineRule="auto"/>
      </w:pPr>
      <w:r>
        <w:rPr>
          <w:rFonts w:ascii="Calibri" w:hAnsi="Calibri" w:eastAsia="Calibri"/>
          <w:color w:val="23272B"/>
        </w:rPr>
        <w:t>staff awareness, verification procedures and controls for high-risk instructions; and</w:t>
      </w:r>
    </w:p>
    <w:p>
      <w:pPr>
        <w:keepLines w:val="0"/>
        <w:widowControl/>
        <w:numPr>
          <w:ilvl w:val="0"/>
          <w:numId w:val="42"/>
        </w:numPr>
        <w:spacing w:after="160" w:line="280" w:lineRule="auto"/>
      </w:pPr>
      <w:r>
        <w:rPr>
          <w:rFonts w:ascii="Calibri" w:hAnsi="Calibri" w:eastAsia="Calibri"/>
          <w:color w:val="23272B"/>
        </w:rPr>
        <w:t>secure destruction or de-identification when information is no longer required.</w:t>
      </w:r>
    </w:p>
    <w:p>
      <w:pPr>
        <w:widowControl/>
        <w:spacing w:before="0" w:after="120" w:line="264" w:lineRule="auto"/>
      </w:pPr>
      <w:r>
        <w:rPr>
          <w:rFonts w:ascii="Calibri" w:hAnsi="Calibri" w:eastAsia="Calibri"/>
          <w:color w:val="23272B"/>
        </w:rPr>
        <w:t>No transmission or storage method is completely secure. We cannot guarantee absolute security, but we will act reasonably to prevent misuse, interference, loss and unauthorised access, modification or disclosure. Clients should not send passwords, full payment-card details or unrequested identity documents through a general email or website form.</w:t>
      </w:r>
    </w:p>
    <w:p>
      <w:pPr>
        <w:pStyle w:val="Callout"/>
        <w:shd w:fill="F4EEE1" w:val="clear"/>
        <w:pBdr>
          <w:left w:val="single" w:sz="20" w:space="8" w:color="9C7A38"/>
        </w:pBdr>
      </w:pPr>
      <w:r>
        <w:rPr>
          <w:rFonts w:ascii="Calibri" w:hAnsi="Calibri" w:eastAsia="Calibri"/>
          <w:b/>
          <w:color w:val="23364D"/>
        </w:rPr>
        <w:t xml:space="preserve">Payment security: </w:t>
      </w:r>
      <w:r>
        <w:rPr>
          <w:rFonts w:ascii="Calibri" w:hAnsi="Calibri" w:eastAsia="Calibri"/>
          <w:color w:val="23272B"/>
        </w:rPr>
        <w:t>Luxurious Group will not rely solely on an email to notify a change to bank-account details. Any payment instruction or requested change should be verified by telephone using a trusted, independently sourced contact number before funds are transferred.</w:t>
      </w:r>
    </w:p>
    <w:p>
      <w:pPr>
        <w:pStyle w:val="Heading2"/>
      </w:pPr>
      <w:r>
        <w:t>16. Retention and destruction</w:t>
      </w:r>
    </w:p>
    <w:p>
      <w:pPr>
        <w:widowControl/>
        <w:spacing w:before="0" w:after="120" w:line="264" w:lineRule="auto"/>
      </w:pPr>
      <w:r>
        <w:rPr>
          <w:rFonts w:ascii="Calibri" w:hAnsi="Calibri" w:eastAsia="Calibri"/>
          <w:color w:val="23272B"/>
        </w:rPr>
        <w:t>We retain personal information only for as long as reasonably needed for the purpose for which it was collected, to maintain necessary business and transaction records, resolve disputes, enforce agreements, meet insurance or professional requirements, and comply with legal, accounting, tax or regulatory obligations.</w:t>
      </w:r>
    </w:p>
    <w:p>
      <w:pPr>
        <w:widowControl/>
        <w:spacing w:before="0" w:after="120" w:line="264" w:lineRule="auto"/>
      </w:pPr>
      <w:r>
        <w:rPr>
          <w:rFonts w:ascii="Calibri" w:hAnsi="Calibri" w:eastAsia="Calibri"/>
          <w:color w:val="23272B"/>
        </w:rPr>
        <w:t>Retention periods vary according to the information and context. When information is no longer needed and retention is not required by law or a court or tribunal order, we will take reasonable steps to securely destroy or de-identify it. Residual copies may remain for a limited period in secure backups and will not be restored except for legitimate continuity, security or legal purposes.</w:t>
      </w:r>
    </w:p>
    <w:p>
      <w:pPr>
        <w:pStyle w:val="Heading2"/>
      </w:pPr>
      <w:r>
        <w:t>17. Access to and correction of personal information</w:t>
      </w:r>
    </w:p>
    <w:p>
      <w:pPr>
        <w:widowControl/>
        <w:spacing w:before="0" w:after="120" w:line="264" w:lineRule="auto"/>
      </w:pPr>
      <w:r>
        <w:rPr>
          <w:rFonts w:ascii="Calibri" w:hAnsi="Calibri" w:eastAsia="Calibri"/>
          <w:color w:val="23272B"/>
        </w:rPr>
        <w:t>An individual may request access to personal information we hold about them or ask us to correct information that is inaccurate, out of date, incomplete, irrelevant or misleading. A request may be made using the contact details in section 23. No special form is required.</w:t>
      </w:r>
    </w:p>
    <w:p>
      <w:pPr>
        <w:widowControl/>
        <w:spacing w:before="0" w:after="120" w:line="264" w:lineRule="auto"/>
      </w:pPr>
      <w:r>
        <w:rPr>
          <w:rFonts w:ascii="Calibri" w:hAnsi="Calibri" w:eastAsia="Calibri"/>
          <w:color w:val="23272B"/>
        </w:rPr>
        <w:t>We may ask for reasonable proof of identity and clarification of the information requested. We will respond within a reasonable period. Access may be refused or limited where permitted by law, including where it would unreasonably affect another person’s privacy, reveal commercially sensitive evaluative information, prejudice negotiations or legal proceedings, or be unlawful. If we refuse a request, we will generally provide written reasons and available complaint options where required.</w:t>
      </w:r>
    </w:p>
    <w:p>
      <w:pPr>
        <w:widowControl/>
        <w:spacing w:before="0" w:after="120" w:line="264" w:lineRule="auto"/>
      </w:pPr>
      <w:r>
        <w:rPr>
          <w:rFonts w:ascii="Calibri" w:hAnsi="Calibri" w:eastAsia="Calibri"/>
          <w:color w:val="23272B"/>
        </w:rPr>
        <w:t>We do not usually charge for making a request. If a reasonable charge is permitted for providing access, we will explain the basis before incurring it. If information is corrected, we will take reasonable steps to notify relevant third parties where required or requested.</w:t>
      </w:r>
    </w:p>
    <w:p>
      <w:pPr>
        <w:pStyle w:val="Heading2"/>
      </w:pPr>
      <w:r>
        <w:t>18. Privacy enquiries and complaints</w:t>
      </w:r>
    </w:p>
    <w:p>
      <w:pPr>
        <w:widowControl/>
        <w:spacing w:before="0" w:after="120" w:line="264" w:lineRule="auto"/>
      </w:pPr>
      <w:r>
        <w:rPr>
          <w:rFonts w:ascii="Calibri" w:hAnsi="Calibri" w:eastAsia="Calibri"/>
          <w:color w:val="23272B"/>
        </w:rPr>
        <w:t>A privacy enquiry or complaint should be directed to the Privacy Officer using the details in section 23. Please describe the concern, relevant dates, the information or interaction involved and the outcome sought. We may request identity or supporting information where reasonably necessary.</w:t>
      </w:r>
    </w:p>
    <w:p>
      <w:pPr>
        <w:widowControl/>
        <w:spacing w:before="0" w:after="120" w:line="264" w:lineRule="auto"/>
      </w:pPr>
      <w:r>
        <w:rPr>
          <w:rFonts w:ascii="Calibri" w:hAnsi="Calibri" w:eastAsia="Calibri"/>
          <w:color w:val="23272B"/>
        </w:rPr>
        <w:t>We aim to acknowledge a complaint within seven business days and to provide a substantive response within 30 calendar days, although complex matters may take longer. We will investigate fairly, restrict the information to those who need it, explain our outcome and identify reasonable corrective action where appropriate.</w:t>
      </w:r>
    </w:p>
    <w:p>
      <w:pPr>
        <w:widowControl/>
        <w:spacing w:before="0" w:after="120" w:line="264" w:lineRule="auto"/>
      </w:pPr>
      <w:r>
        <w:rPr>
          <w:rFonts w:ascii="Calibri" w:hAnsi="Calibri" w:eastAsia="Calibri"/>
          <w:color w:val="23272B"/>
        </w:rPr>
        <w:t>If an individual is not satisfied, they may be entitled to complain to the Office of the Australian Information Commissioner (OAIC). Current contact and complaint information is available at www.oaic.gov.au. We encourage the individual to give us a reasonable opportunity to address the issue first.</w:t>
      </w:r>
    </w:p>
    <w:p>
      <w:pPr>
        <w:pStyle w:val="Heading2"/>
      </w:pPr>
      <w:r>
        <w:t>19. Data breaches</w:t>
      </w:r>
    </w:p>
    <w:p>
      <w:pPr>
        <w:widowControl/>
        <w:spacing w:before="0" w:after="120" w:line="264" w:lineRule="auto"/>
      </w:pPr>
      <w:r>
        <w:rPr>
          <w:rFonts w:ascii="Calibri" w:hAnsi="Calibri" w:eastAsia="Calibri"/>
          <w:color w:val="23272B"/>
        </w:rPr>
        <w:t>If we suspect that personal information has been lost or accessed or disclosed without authorisation, we will take reasonable steps to contain the incident, assess the circumstances and reduce harm. Where the Notifiable Data Breaches scheme applies and a breach is likely to result in serious harm, we will notify affected individuals and the OAIC as required, including recommended protective steps.</w:t>
      </w:r>
    </w:p>
    <w:p>
      <w:pPr>
        <w:pStyle w:val="Heading2"/>
      </w:pPr>
      <w:r>
        <w:t>20. Third-party websites, platforms and services</w:t>
      </w:r>
    </w:p>
    <w:p>
      <w:pPr>
        <w:widowControl/>
        <w:spacing w:before="0" w:after="120" w:line="264" w:lineRule="auto"/>
      </w:pPr>
      <w:r>
        <w:rPr>
          <w:rFonts w:ascii="Calibri" w:hAnsi="Calibri" w:eastAsia="Calibri"/>
          <w:color w:val="23272B"/>
        </w:rPr>
        <w:t>Our Services may link to or integrate with independent websites, social networks, payment providers, listing platforms, booking services or professional providers. Their privacy practices are governed by their own policies. A link or integration does not make us responsible for their handling of personal information, although we will take reasonable steps in selecting and managing providers where the APPs require us to do so.</w:t>
      </w:r>
    </w:p>
    <w:p>
      <w:pPr>
        <w:pStyle w:val="Heading2"/>
      </w:pPr>
      <w:r>
        <w:t>21. Children and young people</w:t>
      </w:r>
    </w:p>
    <w:p>
      <w:pPr>
        <w:widowControl/>
        <w:spacing w:before="0" w:after="120" w:line="264" w:lineRule="auto"/>
      </w:pPr>
      <w:r>
        <w:rPr>
          <w:rFonts w:ascii="Calibri" w:hAnsi="Calibri" w:eastAsia="Calibri"/>
          <w:color w:val="23272B"/>
        </w:rPr>
        <w:t>Our general Services are directed to adults and are not designed to knowingly collect personal information from children without appropriate involvement of a parent, guardian or authorised adult. If a service or event involves a person under 18, we will apply additional consent, access and protection measures appropriate to the circumstances.</w:t>
      </w:r>
    </w:p>
    <w:p>
      <w:pPr>
        <w:pStyle w:val="Heading2"/>
      </w:pPr>
      <w:r>
        <w:t>22. Changes to this Policy</w:t>
      </w:r>
    </w:p>
    <w:p>
      <w:pPr>
        <w:widowControl/>
        <w:spacing w:before="0" w:after="120" w:line="264" w:lineRule="auto"/>
      </w:pPr>
      <w:r>
        <w:rPr>
          <w:rFonts w:ascii="Calibri" w:hAnsi="Calibri" w:eastAsia="Calibri"/>
          <w:color w:val="23272B"/>
        </w:rPr>
        <w:t>We may update this Policy when our practices, technology, providers, business structure or legal obligations change. The current version will be published online with its effective date. Material changes may also be notified through the website, by email or through another appropriate channel. We recommend reviewing the Policy periodically.</w:t>
      </w:r>
    </w:p>
    <w:p>
      <w:pPr>
        <w:pStyle w:val="Heading2"/>
      </w:pPr>
      <w:r>
        <w:t>23. Contact us</w:t>
      </w:r>
    </w:p>
    <w:p>
      <w:pPr>
        <w:widowControl/>
        <w:spacing w:before="0" w:after="60" w:line="264" w:lineRule="auto"/>
      </w:pPr>
      <w:r>
        <w:rPr>
          <w:rFonts w:ascii="Calibri" w:hAnsi="Calibri" w:eastAsia="Calibri"/>
          <w:b/>
          <w:color w:val="23364D"/>
        </w:rPr>
        <w:t xml:space="preserve">Privacy Officer: </w:t>
      </w:r>
      <w:r>
        <w:rPr>
          <w:rFonts w:ascii="Calibri" w:hAnsi="Calibri" w:eastAsia="Calibri"/>
          <w:color w:val="23272B"/>
        </w:rPr>
        <w:t>Luxurious Group Australia Pty Ltd</w:t>
      </w:r>
    </w:p>
    <w:p>
      <w:pPr>
        <w:widowControl/>
        <w:spacing w:before="0" w:after="60" w:line="264" w:lineRule="auto"/>
      </w:pPr>
      <w:r>
        <w:rPr>
          <w:rFonts w:ascii="Calibri" w:hAnsi="Calibri" w:eastAsia="Calibri"/>
          <w:b/>
          <w:color w:val="23364D"/>
        </w:rPr>
        <w:t xml:space="preserve">Address: </w:t>
      </w:r>
      <w:r>
        <w:rPr>
          <w:rFonts w:ascii="Calibri" w:hAnsi="Calibri" w:eastAsia="Calibri"/>
          <w:color w:val="23272B"/>
        </w:rPr>
        <w:t>404/1 Como Crescent, Southport QLD 4215, Australia</w:t>
      </w:r>
    </w:p>
    <w:p>
      <w:pPr>
        <w:widowControl/>
        <w:spacing w:before="0" w:after="60" w:line="264" w:lineRule="auto"/>
      </w:pPr>
      <w:r>
        <w:rPr>
          <w:rFonts w:ascii="Calibri" w:hAnsi="Calibri" w:eastAsia="Calibri"/>
          <w:b/>
          <w:color w:val="23364D"/>
        </w:rPr>
        <w:t xml:space="preserve">Email: </w:t>
      </w:r>
      <w:r>
        <w:rPr>
          <w:rFonts w:ascii="Calibri" w:hAnsi="Calibri" w:eastAsia="Calibri"/>
          <w:color w:val="23272B"/>
        </w:rPr>
        <w:t>info@luxuriousgroup.com.au</w:t>
      </w:r>
    </w:p>
    <w:p>
      <w:pPr>
        <w:widowControl/>
        <w:spacing w:before="0" w:after="60" w:line="264" w:lineRule="auto"/>
      </w:pPr>
      <w:r>
        <w:rPr>
          <w:rFonts w:ascii="Calibri" w:hAnsi="Calibri" w:eastAsia="Calibri"/>
          <w:b/>
          <w:color w:val="23364D"/>
        </w:rPr>
        <w:t xml:space="preserve">Telephone: </w:t>
      </w:r>
      <w:r>
        <w:rPr>
          <w:rFonts w:ascii="Calibri" w:hAnsi="Calibri" w:eastAsia="Calibri"/>
          <w:color w:val="23272B"/>
        </w:rPr>
        <w:t>0459 179 857</w:t>
      </w:r>
    </w:p>
    <w:p>
      <w:pPr>
        <w:widowControl/>
        <w:spacing w:before="0" w:after="60" w:line="264" w:lineRule="auto"/>
      </w:pPr>
      <w:r>
        <w:rPr>
          <w:rFonts w:ascii="Calibri" w:hAnsi="Calibri" w:eastAsia="Calibri"/>
          <w:b/>
          <w:color w:val="23364D"/>
        </w:rPr>
        <w:t xml:space="preserve">Website: </w:t>
      </w:r>
      <w:r>
        <w:rPr>
          <w:rFonts w:ascii="Calibri" w:hAnsi="Calibri" w:eastAsia="Calibri"/>
          <w:color w:val="23272B"/>
        </w:rPr>
        <w:t>www.luxuriousgroup.com.au</w:t>
      </w:r>
    </w:p>
    <w:p>
      <w:pPr>
        <w:pStyle w:val="Kicker"/>
      </w:pPr>
      <w:r>
        <w:t>SECTION 3</w:t>
      </w:r>
    </w:p>
    <w:p>
      <w:pPr>
        <w:pStyle w:val="Heading1"/>
        <w:spacing w:before="0"/>
      </w:pPr>
      <w:r>
        <w:t>Short Privacy and Consent Notices</w:t>
      </w:r>
    </w:p>
    <w:p>
      <w:pPr>
        <w:pStyle w:val="Lead"/>
        <w:keepNext/>
      </w:pPr>
      <w:r>
        <w:t>Use these concise notices at the exact point where information is collected. They supplement the full Privacy Policy and should link directly to it.</w:t>
      </w:r>
    </w:p>
    <w:p>
      <w:pPr>
        <w:pStyle w:val="Heading2"/>
      </w:pPr>
      <w:r>
        <w:t>General enquiry form notice</w:t>
      </w:r>
    </w:p>
    <w:p>
      <w:pPr>
        <w:pStyle w:val="Callout"/>
        <w:shd w:fill="EDF1F5" w:val="clear"/>
        <w:pBdr>
          <w:left w:val="single" w:sz="20" w:space="8" w:color="9C7A38"/>
        </w:pBdr>
      </w:pPr>
      <w:r>
        <w:rPr>
          <w:rFonts w:ascii="Calibri" w:hAnsi="Calibri" w:eastAsia="Calibri"/>
          <w:b/>
          <w:color w:val="23364D"/>
        </w:rPr>
        <w:t xml:space="preserve">Website-ready wording: </w:t>
      </w:r>
      <w:r>
        <w:rPr>
          <w:rFonts w:ascii="Calibri" w:hAnsi="Calibri" w:eastAsia="Calibri"/>
          <w:color w:val="23272B"/>
        </w:rPr>
        <w:t>Luxurious Group Australia Pty Ltd collects the information submitted through this form to respond to your enquiry, understand your requirements and provide relevant service or opportunity information. We may share it with authorised personnel, service providers and carefully selected specialists or partners where reasonably necessary to respond to your request. Some providers may process information overseas. Read our Privacy Policy for details about access, correction, complaints and overseas processing. You can opt out of marketing at any time.</w:t>
      </w:r>
    </w:p>
    <w:p>
      <w:pPr>
        <w:pStyle w:val="Heading2"/>
      </w:pPr>
      <w:r>
        <w:t>Membership or Join Now form notice</w:t>
      </w:r>
    </w:p>
    <w:p>
      <w:pPr>
        <w:pStyle w:val="Callout"/>
        <w:shd w:fill="EDF1F5" w:val="clear"/>
        <w:pBdr>
          <w:left w:val="single" w:sz="20" w:space="8" w:color="9C7A38"/>
        </w:pBdr>
      </w:pPr>
      <w:r>
        <w:rPr>
          <w:rFonts w:ascii="Calibri" w:hAnsi="Calibri" w:eastAsia="Calibri"/>
          <w:b/>
          <w:color w:val="23364D"/>
        </w:rPr>
        <w:t xml:space="preserve">Website-ready wording: </w:t>
      </w:r>
      <w:r>
        <w:rPr>
          <w:rFonts w:ascii="Calibri" w:hAnsi="Calibri" w:eastAsia="Calibri"/>
          <w:color w:val="23272B"/>
        </w:rPr>
        <w:t>By submitting this application, you authorise Luxurious Group Australia Pty Ltd to use the information provided to assess and administer your membership, verify relevant details, communicate with you and, where approved, provide member opportunities and services. Submission does not guarantee acceptance. Please read our Privacy Policy. Marketing is optional and may be withdrawn at any time.</w:t>
      </w:r>
    </w:p>
    <w:p>
      <w:pPr>
        <w:pStyle w:val="Heading2"/>
      </w:pPr>
      <w:r>
        <w:t>Directory listing declaration</w:t>
      </w:r>
    </w:p>
    <w:p>
      <w:pPr>
        <w:pStyle w:val="Callout"/>
        <w:shd w:fill="F4EEE1" w:val="clear"/>
        <w:pBdr>
          <w:left w:val="single" w:sz="20" w:space="8" w:color="9C7A38"/>
        </w:pBdr>
      </w:pPr>
      <w:r>
        <w:rPr>
          <w:rFonts w:ascii="Calibri" w:hAnsi="Calibri" w:eastAsia="Calibri"/>
          <w:b/>
          <w:color w:val="23364D"/>
        </w:rPr>
        <w:t xml:space="preserve">Required checkbox wording: </w:t>
      </w:r>
      <w:r>
        <w:rPr>
          <w:rFonts w:ascii="Calibri" w:hAnsi="Calibri" w:eastAsia="Calibri"/>
          <w:color w:val="23272B"/>
        </w:rPr>
        <w:t>I confirm that I am authorised to submit this listing; the information is accurate; and all names, images, testimonials and contact details supplied are approved for public display. I understand that public content may be indexed, copied or accessed outside Australia and agree to the Privacy Policy and applicable listing terms.</w:t>
      </w:r>
    </w:p>
    <w:p>
      <w:pPr>
        <w:pStyle w:val="Heading2"/>
      </w:pPr>
      <w:r>
        <w:t>Optional marketing consent</w:t>
      </w:r>
    </w:p>
    <w:p>
      <w:pPr>
        <w:pStyle w:val="Callout"/>
        <w:shd w:fill="F4EEE1" w:val="clear"/>
        <w:pBdr>
          <w:left w:val="single" w:sz="20" w:space="8" w:color="9C7A38"/>
        </w:pBdr>
      </w:pPr>
      <w:r>
        <w:rPr>
          <w:rFonts w:ascii="Calibri" w:hAnsi="Calibri" w:eastAsia="Calibri"/>
          <w:b/>
          <w:color w:val="23364D"/>
        </w:rPr>
        <w:t xml:space="preserve">Unticked checkbox wording: </w:t>
      </w:r>
      <w:r>
        <w:rPr>
          <w:rFonts w:ascii="Calibri" w:hAnsi="Calibri" w:eastAsia="Calibri"/>
          <w:color w:val="23272B"/>
        </w:rPr>
        <w:t>I agree to receive tailored news, invitations, opportunities and offers from Luxurious Group. I understand that I can unsubscribe at any time.</w:t>
      </w:r>
    </w:p>
    <w:p>
      <w:pPr>
        <w:widowControl/>
        <w:spacing w:before="0" w:after="120" w:line="264" w:lineRule="auto"/>
      </w:pPr>
      <w:r>
        <w:rPr>
          <w:rFonts w:ascii="Calibri" w:hAnsi="Calibri" w:eastAsia="Calibri"/>
          <w:color w:val="23272B"/>
        </w:rPr>
        <w:t>The marketing checkbox should not be pre-selected. The date, source and wording of the consent should be recorded. Service communications should remain separate from optional marketing wherever practicable.</w:t>
      </w:r>
    </w:p>
    <w:p>
      <w:pPr>
        <w:pStyle w:val="Heading2"/>
      </w:pPr>
      <w:r>
        <w:t>Sensitive or high-risk information notice</w:t>
      </w:r>
    </w:p>
    <w:p>
      <w:pPr>
        <w:pStyle w:val="Callout"/>
        <w:shd w:fill="F4EEE1" w:val="clear"/>
        <w:pBdr>
          <w:left w:val="single" w:sz="20" w:space="8" w:color="9C7A38"/>
        </w:pBdr>
      </w:pPr>
      <w:r>
        <w:rPr>
          <w:rFonts w:ascii="Calibri" w:hAnsi="Calibri" w:eastAsia="Calibri"/>
          <w:b/>
          <w:color w:val="23364D"/>
        </w:rPr>
        <w:t xml:space="preserve">Website-ready wording: </w:t>
      </w:r>
      <w:r>
        <w:rPr>
          <w:rFonts w:ascii="Calibri" w:hAnsi="Calibri" w:eastAsia="Calibri"/>
          <w:color w:val="23272B"/>
        </w:rPr>
        <w:t>For your security, do not submit passwords, full payment-card details, unrequested identity documents, medical information or confidential banking instructions through this form. We will provide an appropriate secure channel if additional verification or sensitive information is required.</w:t>
      </w:r>
    </w:p>
    <w:p>
      <w:pPr>
        <w:pStyle w:val="Kicker"/>
      </w:pPr>
      <w:r>
        <w:t>SECTION 4</w:t>
      </w:r>
    </w:p>
    <w:p>
      <w:pPr>
        <w:pStyle w:val="Heading1"/>
        <w:spacing w:before="0"/>
      </w:pPr>
      <w:r>
        <w:t>Confidentiality Clause</w:t>
      </w:r>
    </w:p>
    <w:p>
      <w:pPr>
        <w:pStyle w:val="Lead"/>
        <w:keepNext/>
      </w:pPr>
      <w:r>
        <w:t>A comprehensive mutual clause for proposals, heads of agreement, service agreements, partnership documents, due-diligence exchanges and other commercial discussions.</w:t>
      </w:r>
    </w:p>
    <w:p>
      <w:pPr>
        <w:pStyle w:val="Callout"/>
        <w:shd w:fill="F4EEE1" w:val="clear"/>
        <w:pBdr>
          <w:left w:val="single" w:sz="20" w:space="8" w:color="9C7A38"/>
        </w:pBdr>
      </w:pPr>
      <w:r>
        <w:rPr>
          <w:rFonts w:ascii="Calibri" w:hAnsi="Calibri" w:eastAsia="Calibri"/>
          <w:b/>
          <w:color w:val="23364D"/>
        </w:rPr>
        <w:t xml:space="preserve">Use note: </w:t>
      </w:r>
      <w:r>
        <w:rPr>
          <w:rFonts w:ascii="Calibri" w:hAnsi="Calibri" w:eastAsia="Calibri"/>
          <w:color w:val="23272B"/>
        </w:rPr>
        <w:t>For maximum enforceability, incorporate this clause into a signed agreement or terms that are expressly accepted. Confirm the transaction, parties, permitted purpose, duration and any industry-specific duties with a solicitor. A footer notice alone may not create a binding confidentiality agreement.</w:t>
      </w:r>
    </w:p>
    <w:p>
      <w:pPr>
        <w:pStyle w:val="Heading2"/>
      </w:pPr>
      <w:r>
        <w:t>Mutual Confidentiality Clause</w:t>
      </w:r>
    </w:p>
    <w:p>
      <w:pPr>
        <w:pStyle w:val="ClauseBody"/>
      </w:pPr>
      <w:r>
        <w:rPr>
          <w:rFonts w:ascii="Calibri" w:hAnsi="Calibri" w:eastAsia="Calibri"/>
          <w:b/>
          <w:color w:val="23364D"/>
        </w:rPr>
        <w:t xml:space="preserve">4.1  </w:t>
      </w:r>
      <w:r>
        <w:rPr>
          <w:rFonts w:ascii="Calibri" w:hAnsi="Calibri" w:eastAsia="Calibri"/>
          <w:color w:val="23272B"/>
          <w:sz w:val="21"/>
        </w:rPr>
        <w:t>In this clause, Disclosing Party means a party that provides or makes available Confidential Information; Recipient means the party that receives or accesses it; Representatives means the Recipient’s directors, officers, employees, contractors, financiers, insurers and professional advisers who have a genuine need to know; and Permitted Purpose means assessing, negotiating, documenting, financing or performing the transaction, project, opportunity or services contemplated by this document.</w:t>
      </w:r>
    </w:p>
    <w:p>
      <w:pPr>
        <w:pStyle w:val="ClauseBody"/>
      </w:pPr>
      <w:r>
        <w:rPr>
          <w:rFonts w:ascii="Calibri" w:hAnsi="Calibri" w:eastAsia="Calibri"/>
          <w:b/>
          <w:color w:val="23364D"/>
        </w:rPr>
        <w:t xml:space="preserve">4.2  </w:t>
      </w:r>
      <w:r>
        <w:rPr>
          <w:rFonts w:ascii="Calibri" w:hAnsi="Calibri" w:eastAsia="Calibri"/>
          <w:color w:val="23272B"/>
          <w:sz w:val="21"/>
        </w:rPr>
        <w:t>Confidential Information means all information disclosed before or after the date of this document, in any form, that is marked confidential, is disclosed in circumstances importing confidence, or a reasonable person would understand to be confidential. It includes commercial terms, pricing, proposals, business plans, strategies, financial information, source-of-funds information, client and partner identities, contact details, personal preferences, travel or location information, security arrangements, property and project information, designs, plans, models, forecasts, data, software, processes, intellectual property, trade secrets, due-diligence material, negotiations, the existence and status of discussions, and notes or analyses derived from that information.</w:t>
      </w:r>
    </w:p>
    <w:p>
      <w:pPr>
        <w:pStyle w:val="ClauseBody"/>
      </w:pPr>
      <w:r>
        <w:rPr>
          <w:rFonts w:ascii="Calibri" w:hAnsi="Calibri" w:eastAsia="Calibri"/>
          <w:b/>
          <w:color w:val="23364D"/>
        </w:rPr>
        <w:t xml:space="preserve">4.3  </w:t>
      </w:r>
      <w:r>
        <w:rPr>
          <w:rFonts w:ascii="Calibri" w:hAnsi="Calibri" w:eastAsia="Calibri"/>
          <w:color w:val="23272B"/>
          <w:sz w:val="21"/>
        </w:rPr>
        <w:t>The Recipient must use Confidential Information solely for the Permitted Purpose and must not use it for personal gain, competitive advantage, solicitation, circumvention or any unrelated purpose. The Recipient must not copy, reproduce, reverse engineer, publish, announce, exploit, commercialise or disclose Confidential Information except as expressly permitted by this clause or with the Disclosing Party’s prior written consent.</w:t>
      </w:r>
    </w:p>
    <w:p>
      <w:pPr>
        <w:pStyle w:val="ClauseBody"/>
      </w:pPr>
      <w:r>
        <w:rPr>
          <w:rFonts w:ascii="Calibri" w:hAnsi="Calibri" w:eastAsia="Calibri"/>
          <w:b/>
          <w:color w:val="23364D"/>
        </w:rPr>
        <w:t xml:space="preserve">4.4  </w:t>
      </w:r>
      <w:r>
        <w:rPr>
          <w:rFonts w:ascii="Calibri" w:hAnsi="Calibri" w:eastAsia="Calibri"/>
          <w:color w:val="23272B"/>
          <w:sz w:val="21"/>
        </w:rPr>
        <w:t>The Recipient must protect Confidential Information using at least the degree of care it applies to its own information of similar sensitivity and, in all cases, no less than reasonable care. The Recipient must apply proportionate administrative, physical and technical safeguards; restrict access to people with a genuine need to know; avoid transmitting sensitive information through insecure channels where a more appropriate channel is available; and promptly notify the Disclosing Party of any actual or suspected loss, misuse, unauthorised access or disclosure.</w:t>
      </w:r>
    </w:p>
    <w:p>
      <w:pPr>
        <w:pStyle w:val="ClauseBody"/>
      </w:pPr>
      <w:r>
        <w:rPr>
          <w:rFonts w:ascii="Calibri" w:hAnsi="Calibri" w:eastAsia="Calibri"/>
          <w:b/>
          <w:color w:val="23364D"/>
        </w:rPr>
        <w:t xml:space="preserve">4.5  </w:t>
      </w:r>
      <w:r>
        <w:rPr>
          <w:rFonts w:ascii="Calibri" w:hAnsi="Calibri" w:eastAsia="Calibri"/>
          <w:color w:val="23272B"/>
          <w:sz w:val="21"/>
        </w:rPr>
        <w:t>The Recipient may disclose Confidential Information to its Representatives only to the extent reasonably necessary for the Permitted Purpose and only if those Representatives are informed of its confidential nature and are bound by duties of confidentiality no less protective than this clause. The Recipient remains responsible for a breach by a Representative to the extent permitted by law.</w:t>
      </w:r>
    </w:p>
    <w:p>
      <w:pPr>
        <w:pStyle w:val="ClauseBody"/>
      </w:pPr>
      <w:r>
        <w:rPr>
          <w:rFonts w:ascii="Calibri" w:hAnsi="Calibri" w:eastAsia="Calibri"/>
          <w:b/>
          <w:color w:val="23364D"/>
        </w:rPr>
        <w:t xml:space="preserve">4.6  </w:t>
      </w:r>
      <w:r>
        <w:rPr>
          <w:rFonts w:ascii="Calibri" w:hAnsi="Calibri" w:eastAsia="Calibri"/>
          <w:color w:val="23272B"/>
          <w:sz w:val="21"/>
        </w:rPr>
        <w:t>The obligations in this clause do not apply to information that the Recipient can demonstrate by contemporaneous written records: (a) is or becomes public other than through a breach of confidence or law; (b) was lawfully known to the Recipient without restriction before disclosure; (c) is received lawfully from a third party who is not under a duty of confidence; (d) is independently developed without use of the Confidential Information; or (e) the Disclosing Party confirms in writing may be disclosed.</w:t>
      </w:r>
    </w:p>
    <w:p>
      <w:pPr>
        <w:pStyle w:val="ClauseBody"/>
      </w:pPr>
      <w:r>
        <w:rPr>
          <w:rFonts w:ascii="Calibri" w:hAnsi="Calibri" w:eastAsia="Calibri"/>
          <w:b/>
          <w:color w:val="23364D"/>
        </w:rPr>
        <w:t xml:space="preserve">4.7  </w:t>
      </w:r>
      <w:r>
        <w:rPr>
          <w:rFonts w:ascii="Calibri" w:hAnsi="Calibri" w:eastAsia="Calibri"/>
          <w:color w:val="23272B"/>
          <w:sz w:val="21"/>
        </w:rPr>
        <w:t>If disclosure is required by law, a court, tribunal, regulator or recognised securities exchange, the Recipient may disclose only the minimum information legally required. To the extent lawful and practicable, the Recipient must first give prompt written notice to the Disclosing Party, consult about the form and timing of disclosure, and reasonably assist any application for confidential treatment or protective relief. The Recipient is not required to waive legal professional privilege.</w:t>
      </w:r>
    </w:p>
    <w:p>
      <w:pPr>
        <w:pStyle w:val="ClauseBody"/>
      </w:pPr>
      <w:r>
        <w:rPr>
          <w:rFonts w:ascii="Calibri" w:hAnsi="Calibri" w:eastAsia="Calibri"/>
          <w:b/>
          <w:color w:val="23364D"/>
        </w:rPr>
        <w:t xml:space="preserve">4.8  </w:t>
      </w:r>
      <w:r>
        <w:rPr>
          <w:rFonts w:ascii="Calibri" w:hAnsi="Calibri" w:eastAsia="Calibri"/>
          <w:color w:val="23272B"/>
          <w:sz w:val="21"/>
        </w:rPr>
        <w:t>Where Confidential Information includes personal information, each party must handle it in accordance with applicable privacy laws, use it only for the Permitted Purpose, restrict access, comply with reasonable security directions and promptly cooperate in responding to any privacy enquiry, complaint or suspected data breach connected with the information.</w:t>
      </w:r>
    </w:p>
    <w:p>
      <w:pPr>
        <w:pStyle w:val="ClauseBody"/>
      </w:pPr>
      <w:r>
        <w:rPr>
          <w:rFonts w:ascii="Calibri" w:hAnsi="Calibri" w:eastAsia="Calibri"/>
          <w:b/>
          <w:color w:val="23364D"/>
        </w:rPr>
        <w:t xml:space="preserve">4.9  </w:t>
      </w:r>
      <w:r>
        <w:rPr>
          <w:rFonts w:ascii="Calibri" w:hAnsi="Calibri" w:eastAsia="Calibri"/>
          <w:color w:val="23272B"/>
          <w:sz w:val="21"/>
        </w:rPr>
        <w:t>On written request, completion of the Permitted Purpose or termination of the parties’ dealings, the Recipient must promptly stop using and, at the Disclosing Party’s option, return or securely destroy Confidential Information and copies under its control, and confirm completion in writing if requested. The Recipient may retain one archival copy where required by law, professional standards, insurance, governance or an automatic backup system, provided it remains protected and is not used for any other purpose.</w:t>
      </w:r>
    </w:p>
    <w:p>
      <w:pPr>
        <w:pStyle w:val="ClauseBody"/>
      </w:pPr>
      <w:r>
        <w:rPr>
          <w:rFonts w:ascii="Calibri" w:hAnsi="Calibri" w:eastAsia="Calibri"/>
          <w:b/>
          <w:color w:val="23364D"/>
        </w:rPr>
        <w:t xml:space="preserve">4.10  </w:t>
      </w:r>
      <w:r>
        <w:rPr>
          <w:rFonts w:ascii="Calibri" w:hAnsi="Calibri" w:eastAsia="Calibri"/>
          <w:color w:val="23272B"/>
          <w:sz w:val="21"/>
        </w:rPr>
        <w:t>All Confidential Information and associated intellectual property remain the property of the Disclosing Party or its licensors. No licence, assignment, transfer, partnership, agency, fiduciary relationship, exclusivity or commitment to proceed is created by disclosure except to the extent expressly stated in a signed agreement.</w:t>
      </w:r>
    </w:p>
    <w:p>
      <w:pPr>
        <w:pStyle w:val="ClauseBody"/>
      </w:pPr>
      <w:r>
        <w:rPr>
          <w:rFonts w:ascii="Calibri" w:hAnsi="Calibri" w:eastAsia="Calibri"/>
          <w:b/>
          <w:color w:val="23364D"/>
        </w:rPr>
        <w:t xml:space="preserve">4.11  </w:t>
      </w:r>
      <w:r>
        <w:rPr>
          <w:rFonts w:ascii="Calibri" w:hAnsi="Calibri" w:eastAsia="Calibri"/>
          <w:color w:val="23272B"/>
          <w:sz w:val="21"/>
        </w:rPr>
        <w:t>Unless expressly warranted in a signed agreement, the Disclosing Party does not warrant that Confidential Information is complete, accurate or fit for a particular purpose and is not obliged to update it. This does not exclude liability that cannot lawfully be excluded, including liability for fraud, deliberate concealment or misleading or deceptive conduct.</w:t>
      </w:r>
    </w:p>
    <w:p>
      <w:pPr>
        <w:pStyle w:val="ClauseBody"/>
      </w:pPr>
      <w:r>
        <w:rPr>
          <w:rFonts w:ascii="Calibri" w:hAnsi="Calibri" w:eastAsia="Calibri"/>
          <w:b/>
          <w:color w:val="23364D"/>
        </w:rPr>
        <w:t xml:space="preserve">4.12  </w:t>
      </w:r>
      <w:r>
        <w:rPr>
          <w:rFonts w:ascii="Calibri" w:hAnsi="Calibri" w:eastAsia="Calibri"/>
          <w:color w:val="23272B"/>
          <w:sz w:val="21"/>
        </w:rPr>
        <w:t>Each party acknowledges that an unauthorised use or disclosure may cause harm that is difficult to quantify and that damages alone may be an inadequate remedy. Subject to the court’s discretion and applicable law, the Disclosing Party may seek urgent interlocutory, injunctive or other equitable relief in addition to any other available remedy.</w:t>
      </w:r>
    </w:p>
    <w:p>
      <w:pPr>
        <w:pStyle w:val="ClauseBody"/>
      </w:pPr>
      <w:r>
        <w:rPr>
          <w:rFonts w:ascii="Calibri" w:hAnsi="Calibri" w:eastAsia="Calibri"/>
          <w:b/>
          <w:color w:val="23364D"/>
        </w:rPr>
        <w:t xml:space="preserve">4.13  </w:t>
      </w:r>
      <w:r>
        <w:rPr>
          <w:rFonts w:ascii="Calibri" w:hAnsi="Calibri" w:eastAsia="Calibri"/>
          <w:color w:val="23272B"/>
          <w:sz w:val="21"/>
        </w:rPr>
        <w:t>Neither party may make a public announcement, use the other party’s name, logo or relationship, or disclose the existence or status of negotiations without prior written consent, except where disclosure is legally required in accordance with clause 4.7.</w:t>
      </w:r>
    </w:p>
    <w:p>
      <w:pPr>
        <w:pStyle w:val="ClauseBody"/>
      </w:pPr>
      <w:r>
        <w:rPr>
          <w:rFonts w:ascii="Calibri" w:hAnsi="Calibri" w:eastAsia="Calibri"/>
          <w:b/>
          <w:color w:val="23364D"/>
        </w:rPr>
        <w:t xml:space="preserve">4.14  </w:t>
      </w:r>
      <w:r>
        <w:rPr>
          <w:rFonts w:ascii="Calibri" w:hAnsi="Calibri" w:eastAsia="Calibri"/>
          <w:color w:val="23272B"/>
          <w:sz w:val="21"/>
        </w:rPr>
        <w:t>These obligations continue during the parties’ dealings and for five years after the later of the last disclosure and termination of the relevant agreement. Obligations concerning trade secrets continue for so long as the information remains a trade secret; obligations concerning personal information continue for as long as required by applicable law; and legal professional privilege is preserved indefinitely unless lawfully waived.</w:t>
      </w:r>
    </w:p>
    <w:p>
      <w:pPr>
        <w:pStyle w:val="ClauseBody"/>
      </w:pPr>
      <w:r>
        <w:rPr>
          <w:rFonts w:ascii="Calibri" w:hAnsi="Calibri" w:eastAsia="Calibri"/>
          <w:b/>
          <w:color w:val="23364D"/>
        </w:rPr>
        <w:t xml:space="preserve">4.15  </w:t>
      </w:r>
      <w:r>
        <w:rPr>
          <w:rFonts w:ascii="Calibri" w:hAnsi="Calibri" w:eastAsia="Calibri"/>
          <w:color w:val="23272B"/>
          <w:sz w:val="21"/>
        </w:rPr>
        <w:t>This clause is governed by the laws of Queensland, Australia. The parties submit to the non-exclusive jurisdiction of the courts of Queensland and courts entitled to hear appeals from them, unless the governing agreement states otherwise.</w:t>
      </w:r>
    </w:p>
    <w:p>
      <w:pPr>
        <w:pStyle w:val="Heading2"/>
      </w:pPr>
      <w:r>
        <w:t>Confidential document notice</w:t>
      </w:r>
    </w:p>
    <w:p>
      <w:pPr>
        <w:pStyle w:val="Callout"/>
        <w:shd w:fill="F4EEE1" w:val="clear"/>
        <w:pBdr>
          <w:left w:val="single" w:sz="20" w:space="8" w:color="9C7A38"/>
        </w:pBdr>
      </w:pPr>
      <w:r>
        <w:rPr>
          <w:rFonts w:ascii="Calibri" w:hAnsi="Calibri" w:eastAsia="Calibri"/>
          <w:b/>
          <w:color w:val="23364D"/>
        </w:rPr>
        <w:t xml:space="preserve">Ready-to-use footer or cover wording: </w:t>
      </w:r>
      <w:r>
        <w:rPr>
          <w:rFonts w:ascii="Calibri" w:hAnsi="Calibri" w:eastAsia="Calibri"/>
          <w:color w:val="23272B"/>
        </w:rPr>
        <w:t>CONFIDENTIAL — This document and its attachments are intended solely for the named recipient and the purpose for which they were provided. They may contain confidential, commercially sensitive, personal or legally privileged information. No part may be copied, circulated, published, relied upon for another purpose or disclosed to another person without the prior written consent of Luxurious Group Australia Pty Ltd, except to professional advisers who are bound by confidentiality or where disclosure is required by law. If received in error, please notify the sender and securely delete all copies. Disclosure does not create a commitment, agency, fiduciary relationship or licence, and all rights are reserved.</w:t>
      </w:r>
    </w:p>
    <w:p>
      <w:pPr>
        <w:pStyle w:val="Heading2"/>
      </w:pPr>
      <w:r>
        <w:t>Email confidentiality and security notice</w:t>
      </w:r>
    </w:p>
    <w:p>
      <w:pPr>
        <w:pStyle w:val="Callout"/>
        <w:shd w:fill="EDF1F5" w:val="clear"/>
        <w:pBdr>
          <w:left w:val="single" w:sz="20" w:space="8" w:color="9C7A38"/>
        </w:pBdr>
      </w:pPr>
      <w:r>
        <w:rPr>
          <w:rFonts w:ascii="Calibri" w:hAnsi="Calibri" w:eastAsia="Calibri"/>
          <w:b/>
          <w:color w:val="23364D"/>
        </w:rPr>
        <w:t xml:space="preserve">Ready-to-use email footer: </w:t>
      </w:r>
      <w:r>
        <w:rPr>
          <w:rFonts w:ascii="Calibri" w:hAnsi="Calibri" w:eastAsia="Calibri"/>
          <w:color w:val="23272B"/>
        </w:rPr>
        <w:t>This email and any attachments are confidential and may be legally privileged. They are intended only for the addressed recipient. If you received this message in error, please notify the sender, delete it and do not use, copy or disclose it. Email transmission cannot be guaranteed to be secure, complete or free from harmful elements; recipients should apply their own security checks. Views expressed are those of the sender unless authorised as Luxurious Group’s views. Luxurious Group will not notify a change to bank-account details solely by email. Verify all payment instructions by telephone using a trusted, independently sourced number before transferring funds. No contract or variation is binding by email unless confirmed by an authorised representative in accordance with applicable signing requirements.</w:t>
      </w:r>
    </w:p>
    <w:p>
      <w:r>
        <w:br w:type="page"/>
      </w:r>
    </w:p>
    <w:p>
      <w:pPr>
        <w:pStyle w:val="Kicker"/>
      </w:pPr>
      <w:r>
        <w:t>SECTION 5</w:t>
      </w:r>
    </w:p>
    <w:p>
      <w:pPr>
        <w:pStyle w:val="Heading1"/>
        <w:spacing w:before="0"/>
      </w:pPr>
      <w:r>
        <w:t>Website and Document Disclaimer</w:t>
      </w:r>
    </w:p>
    <w:p>
      <w:pPr>
        <w:pStyle w:val="Lead"/>
        <w:keepNext/>
      </w:pPr>
      <w:r>
        <w:t>This disclaimer applies to Luxurious Group’s websites, directories, documents, proposals, marketing materials and general communications, unless a specific signed agreement states otherwise.</w:t>
      </w:r>
    </w:p>
    <w:p>
      <w:pPr>
        <w:pStyle w:val="Heading2"/>
      </w:pPr>
      <w:r>
        <w:t>1. Operator and scope</w:t>
      </w:r>
    </w:p>
    <w:p>
      <w:pPr>
        <w:widowControl/>
        <w:spacing w:before="0" w:after="120" w:line="264" w:lineRule="auto"/>
      </w:pPr>
      <w:r>
        <w:rPr>
          <w:rFonts w:ascii="Calibri" w:hAnsi="Calibri" w:eastAsia="Calibri"/>
          <w:color w:val="23272B"/>
        </w:rPr>
        <w:t>The websites, directories, portals, forms, publications, proposals, presentations, social-media content and other materials that link to or reproduce this Disclaimer (Content) are issued or made available by Luxurious Group Australia Pty Ltd (ACN 657 084 065) (Luxurious Group, we, us or our), unless another operator is expressly identified.</w:t>
      </w:r>
    </w:p>
    <w:p>
      <w:pPr>
        <w:widowControl/>
        <w:spacing w:before="0" w:after="120" w:line="264" w:lineRule="auto"/>
      </w:pPr>
      <w:r>
        <w:rPr>
          <w:rFonts w:ascii="Calibri" w:hAnsi="Calibri" w:eastAsia="Calibri"/>
          <w:color w:val="23272B"/>
        </w:rPr>
        <w:t>This Disclaimer should be read with our Privacy Policy, Website Terms and any service-specific quotation, agreement, supplier terms, listing terms or disclosure document. If there is an inconsistency, a signed service-specific agreement generally prevails to the extent of the inconsistency.</w:t>
      </w:r>
    </w:p>
    <w:p>
      <w:pPr>
        <w:pStyle w:val="Heading2"/>
      </w:pPr>
      <w:r>
        <w:t>2. General information only</w:t>
      </w:r>
    </w:p>
    <w:p>
      <w:pPr>
        <w:widowControl/>
        <w:spacing w:before="0" w:after="120" w:line="264" w:lineRule="auto"/>
      </w:pPr>
      <w:r>
        <w:rPr>
          <w:rFonts w:ascii="Calibri" w:hAnsi="Calibri" w:eastAsia="Calibri"/>
          <w:color w:val="23272B"/>
        </w:rPr>
        <w:t>Content is provided for general information, preliminary discussion and marketing purposes. Although we take reasonable care in preparing it, information may be summarised, indicative, incomplete, supplied by third parties or change without notice. It should not be the sole basis for a financial, legal, property, investment, construction, travel, health, tax or commercial decision.</w:t>
      </w:r>
    </w:p>
    <w:p>
      <w:pPr>
        <w:widowControl/>
        <w:spacing w:before="0" w:after="120" w:line="264" w:lineRule="auto"/>
      </w:pPr>
      <w:r>
        <w:rPr>
          <w:rFonts w:ascii="Calibri" w:hAnsi="Calibri" w:eastAsia="Calibri"/>
          <w:color w:val="23272B"/>
        </w:rPr>
        <w:t>Users should independently verify material information and obtain advice appropriate to their objectives, circumstances and risk tolerance before acting. Past performance, testimonials, examples and case studies are not guarantees of future outcomes.</w:t>
      </w:r>
    </w:p>
    <w:p>
      <w:pPr>
        <w:pStyle w:val="Heading2"/>
      </w:pPr>
      <w:r>
        <w:t>3. No professional advice or automatic relationship</w:t>
      </w:r>
    </w:p>
    <w:p>
      <w:pPr>
        <w:widowControl/>
        <w:spacing w:before="0" w:after="120" w:line="264" w:lineRule="auto"/>
      </w:pPr>
      <w:r>
        <w:rPr>
          <w:rFonts w:ascii="Calibri" w:hAnsi="Calibri" w:eastAsia="Calibri"/>
          <w:color w:val="23272B"/>
        </w:rPr>
        <w:t>Nothing in the Content constitutes legal, financial, credit, investment, tax, accounting, engineering, architectural, planning, building, certification, valuation, medical or other regulated professional advice. Accessing Content, submitting a form, attending a meeting or receiving a preliminary response does not by itself create a client, adviser, fiduciary, agency, partnership, joint-venture or other professional relationship.</w:t>
      </w:r>
    </w:p>
    <w:p>
      <w:pPr>
        <w:widowControl/>
        <w:spacing w:before="0" w:after="120" w:line="264" w:lineRule="auto"/>
      </w:pPr>
      <w:r>
        <w:rPr>
          <w:rFonts w:ascii="Calibri" w:hAnsi="Calibri" w:eastAsia="Calibri"/>
          <w:color w:val="23272B"/>
        </w:rPr>
        <w:t>Where an activity requires a licence, registration or specialist qualification, it must be performed by an appropriately licensed or qualified provider. Luxurious Group’s role may be limited to marketing, coordination, project support, introduction or referral and will be described in the relevant engagement. Users should verify the identity, licence, scope, fees and terms of each provider.</w:t>
      </w:r>
    </w:p>
    <w:p>
      <w:pPr>
        <w:pStyle w:val="Heading2"/>
      </w:pPr>
      <w:r>
        <w:t>4. Property, development, construction and modular-home information</w:t>
      </w:r>
    </w:p>
    <w:p>
      <w:pPr>
        <w:widowControl/>
        <w:spacing w:before="0" w:after="120" w:line="264" w:lineRule="auto"/>
      </w:pPr>
      <w:r>
        <w:rPr>
          <w:rFonts w:ascii="Calibri" w:hAnsi="Calibri" w:eastAsia="Calibri"/>
          <w:color w:val="23272B"/>
        </w:rPr>
        <w:t>Property descriptions, development concepts, plans, dimensions, areas, yields, approvals, timeframes, construction methods, site costs, engineering allowances, rents, valuations and projected returns are indicative unless expressly confirmed in a signed agreement or authoritative report. They may depend on title, survey, planning, environmental, engineering, finance, valuation, market, council, utility, supplier, site and statutory matters.</w:t>
      </w:r>
    </w:p>
    <w:p>
      <w:pPr>
        <w:widowControl/>
        <w:spacing w:before="0" w:after="120" w:line="264" w:lineRule="auto"/>
      </w:pPr>
      <w:r>
        <w:rPr>
          <w:rFonts w:ascii="Calibri" w:hAnsi="Calibri" w:eastAsia="Calibri"/>
          <w:color w:val="23272B"/>
        </w:rPr>
        <w:t>Photographs, renders, floor plans, maps, furniture, finishes, landscaping and artist impressions may be illustrative, not to scale and may show items, views or features that are not included. Buyers, investors and clients must conduct their own inspections and due diligence and obtain independent legal, financial, planning, valuation, building and technical advice before committing.</w:t>
      </w:r>
    </w:p>
    <w:p>
      <w:pPr>
        <w:pStyle w:val="Heading2"/>
      </w:pPr>
      <w:r>
        <w:t>5. Finance, investment and business opportunities</w:t>
      </w:r>
    </w:p>
    <w:p>
      <w:pPr>
        <w:widowControl/>
        <w:spacing w:before="0" w:after="120" w:line="264" w:lineRule="auto"/>
      </w:pPr>
      <w:r>
        <w:rPr>
          <w:rFonts w:ascii="Calibri" w:hAnsi="Calibri" w:eastAsia="Calibri"/>
          <w:color w:val="23272B"/>
        </w:rPr>
        <w:t>Content describing an investment, funding requirement, return, valuation, forecast, revenue, profit, capital requirement or business opportunity is preliminary and does not constitute a prospectus, product disclosure statement, financial product advice, credit approval, binding offer or recommendation. Any forward-looking statement is based on assumptions and is subject to known and unknown risks; actual results may differ materially.</w:t>
      </w:r>
    </w:p>
    <w:p>
      <w:pPr>
        <w:widowControl/>
        <w:spacing w:before="0" w:after="120" w:line="264" w:lineRule="auto"/>
      </w:pPr>
      <w:r>
        <w:rPr>
          <w:rFonts w:ascii="Calibri" w:hAnsi="Calibri" w:eastAsia="Calibri"/>
          <w:color w:val="23272B"/>
        </w:rPr>
        <w:t>No representation is made that finance, funding, approval, a licence, a planning outcome, an investor, a buyer, a supplier, a return or a particular result will be obtained. A person considering an opportunity must assess it independently and obtain appropriately licensed advice. Luxurious Group may receive a fee, commission, referral benefit or other remuneration in connection with an introduction or transaction; material arrangements will be disclosed where required.</w:t>
      </w:r>
    </w:p>
    <w:p>
      <w:pPr>
        <w:pStyle w:val="Heading2"/>
      </w:pPr>
      <w:r>
        <w:t>6. Directory listings and independent providers</w:t>
      </w:r>
    </w:p>
    <w:p>
      <w:pPr>
        <w:widowControl/>
        <w:spacing w:before="0" w:after="120" w:line="264" w:lineRule="auto"/>
      </w:pPr>
      <w:r>
        <w:rPr>
          <w:rFonts w:ascii="Calibri" w:hAnsi="Calibri" w:eastAsia="Calibri"/>
          <w:color w:val="23272B"/>
        </w:rPr>
        <w:t>Businesses, properties, goods, services, offers and events appearing in a directory or feature may be supplied by independent third parties. Unless expressly stated, Luxurious Group does not own, control, employ or act as agent for those parties and does not guarantee their identity, licence, solvency, availability, quality, safety, accuracy, performance or suitability.</w:t>
      </w:r>
    </w:p>
    <w:p>
      <w:pPr>
        <w:widowControl/>
        <w:spacing w:before="0" w:after="120" w:line="264" w:lineRule="auto"/>
      </w:pPr>
      <w:r>
        <w:rPr>
          <w:rFonts w:ascii="Calibri" w:hAnsi="Calibri" w:eastAsia="Calibri"/>
          <w:color w:val="23272B"/>
        </w:rPr>
        <w:t>A listing, link, award, feature, ranking or introduction is not an endorsement or warranty. Listing providers are responsible for the accuracy, legality and currency of their content, prices, availability, claims, permissions and intellectual property. Users should conduct their own checks and contract directly under the provider’s terms unless Luxurious Group is expressly identified as the contracting supplier.</w:t>
      </w:r>
    </w:p>
    <w:p>
      <w:pPr>
        <w:pStyle w:val="Heading2"/>
      </w:pPr>
      <w:r>
        <w:t>7. Luxury travel, accommodation and lifestyle services</w:t>
      </w:r>
    </w:p>
    <w:p>
      <w:pPr>
        <w:widowControl/>
        <w:spacing w:before="0" w:after="120" w:line="264" w:lineRule="auto"/>
      </w:pPr>
      <w:r>
        <w:rPr>
          <w:rFonts w:ascii="Calibri" w:hAnsi="Calibri" w:eastAsia="Calibri"/>
          <w:color w:val="23272B"/>
        </w:rPr>
        <w:t>Accommodation, vehicle, yacht, aircraft, dining, event, concierge and other lifestyle services may be provided by independent operators and remain subject to availability, eligibility, safety requirements, deposits, cancellation rules, weather, operator terms, travel restrictions and other conditions. Images and descriptions may be representative. Users are responsible for passports, visas, insurance, health and safety requirements and compliance with supplier rules.</w:t>
      </w:r>
    </w:p>
    <w:p>
      <w:pPr>
        <w:pStyle w:val="Heading2"/>
      </w:pPr>
      <w:r>
        <w:t>8. Prices, availability, quotations and acceptance</w:t>
      </w:r>
    </w:p>
    <w:p>
      <w:pPr>
        <w:widowControl/>
        <w:spacing w:before="0" w:after="120" w:line="264" w:lineRule="auto"/>
      </w:pPr>
      <w:r>
        <w:rPr>
          <w:rFonts w:ascii="Calibri" w:hAnsi="Calibri" w:eastAsia="Calibri"/>
          <w:color w:val="23272B"/>
        </w:rPr>
        <w:t>Unless expressly stated, prices are in Australian dollars and may exclude GST, transport, delivery, site works, professional fees, approvals, taxes, duties, utilities, finance costs, insurance or third-party charges. Prices, inclusions, availability and timeframes may change before a binding agreement is signed.</w:t>
      </w:r>
    </w:p>
    <w:p>
      <w:pPr>
        <w:widowControl/>
        <w:spacing w:before="0" w:after="120" w:line="264" w:lineRule="auto"/>
      </w:pPr>
      <w:r>
        <w:rPr>
          <w:rFonts w:ascii="Calibri" w:hAnsi="Calibri" w:eastAsia="Calibri"/>
          <w:color w:val="23272B"/>
        </w:rPr>
        <w:t>An enquiry, application, Join Now submission, listing request, booking request, order form or expression of interest does not guarantee acceptance, availability or a transaction. A binding engagement arises only when the applicable agreement is accepted by authorised parties and any required deposit, verification, approval or condition is satisfied.</w:t>
      </w:r>
    </w:p>
    <w:p>
      <w:pPr>
        <w:pStyle w:val="Heading2"/>
      </w:pPr>
      <w:r>
        <w:t>9. Images, testimonials and promotional statements</w:t>
      </w:r>
    </w:p>
    <w:p>
      <w:pPr>
        <w:widowControl/>
        <w:spacing w:before="0" w:after="120" w:line="264" w:lineRule="auto"/>
      </w:pPr>
      <w:r>
        <w:rPr>
          <w:rFonts w:ascii="Calibri" w:hAnsi="Calibri" w:eastAsia="Calibri"/>
          <w:color w:val="23272B"/>
        </w:rPr>
        <w:t>Images may be edited, staged, generated, licensed, illustrative or sourced from suppliers. Testimonials reflect individual experiences and may be edited for length or clarity with permission. They do not guarantee that another person will achieve the same outcome. Any material commercial relationship connected with an endorsement should be disclosed as required by law.</w:t>
      </w:r>
    </w:p>
    <w:p>
      <w:pPr>
        <w:pStyle w:val="Heading2"/>
      </w:pPr>
      <w:r>
        <w:t>10. External links and third-party platforms</w:t>
      </w:r>
    </w:p>
    <w:p>
      <w:pPr>
        <w:widowControl/>
        <w:spacing w:before="0" w:after="120" w:line="264" w:lineRule="auto"/>
      </w:pPr>
      <w:r>
        <w:rPr>
          <w:rFonts w:ascii="Calibri" w:hAnsi="Calibri" w:eastAsia="Calibri"/>
          <w:color w:val="23272B"/>
        </w:rPr>
        <w:t>Content may link to independent websites, payment services, social platforms, booking systems, maps or documents for convenience. We do not control and are not responsible for their content, availability, security, privacy practices or terms. Users access them at their own risk and should review the applicable policies.</w:t>
      </w:r>
    </w:p>
    <w:p>
      <w:pPr>
        <w:pStyle w:val="Heading2"/>
      </w:pPr>
      <w:r>
        <w:t>11. Website availability and cybersecurity</w:t>
      </w:r>
    </w:p>
    <w:p>
      <w:pPr>
        <w:widowControl/>
        <w:spacing w:before="0" w:after="120" w:line="264" w:lineRule="auto"/>
      </w:pPr>
      <w:r>
        <w:rPr>
          <w:rFonts w:ascii="Calibri" w:hAnsi="Calibri" w:eastAsia="Calibri"/>
          <w:color w:val="23272B"/>
        </w:rPr>
        <w:t>We aim to keep digital Services accurate, secure and available but do not warrant uninterrupted access, error-free operation, compatibility with every device, or freedom from viruses or other harmful elements. We may suspend, withdraw or alter Content or functionality for maintenance, security, legal or commercial reasons.</w:t>
      </w:r>
    </w:p>
    <w:p>
      <w:pPr>
        <w:widowControl/>
        <w:spacing w:before="0" w:after="120" w:line="264" w:lineRule="auto"/>
      </w:pPr>
      <w:r>
        <w:rPr>
          <w:rFonts w:ascii="Calibri" w:hAnsi="Calibri" w:eastAsia="Calibri"/>
          <w:color w:val="23272B"/>
        </w:rPr>
        <w:t>Users must apply appropriate security controls and independently verify high-risk instructions. In particular, never rely solely on an emailed change to payment details; verify it by telephone using a trusted, independently sourced number.</w:t>
      </w:r>
    </w:p>
    <w:p>
      <w:pPr>
        <w:pStyle w:val="Heading2"/>
      </w:pPr>
      <w:r>
        <w:t>12. Intellectual property</w:t>
      </w:r>
    </w:p>
    <w:p>
      <w:pPr>
        <w:widowControl/>
        <w:spacing w:before="0" w:after="120" w:line="264" w:lineRule="auto"/>
      </w:pPr>
      <w:r>
        <w:rPr>
          <w:rFonts w:ascii="Calibri" w:hAnsi="Calibri" w:eastAsia="Calibri"/>
          <w:color w:val="23272B"/>
        </w:rPr>
        <w:t>Unless otherwise stated, Content is owned by or licensed to Luxurious Group and is protected by copyright, trade mark and other intellectual-property laws. Users may view or download a reasonable copy for personal evaluation or an authorised business purpose. Content must not be reproduced, altered, republished, sold, scraped, data-mined or commercially exploited without prior written permission, except as permitted by law. Third-party names, logos and materials remain the property of their owners.</w:t>
      </w:r>
    </w:p>
    <w:p>
      <w:pPr>
        <w:pStyle w:val="Heading2"/>
      </w:pPr>
      <w:r>
        <w:t>13. No warranty and limitation of liability</w:t>
      </w:r>
    </w:p>
    <w:p>
      <w:pPr>
        <w:widowControl/>
        <w:spacing w:before="0" w:after="120" w:line="264" w:lineRule="auto"/>
      </w:pPr>
      <w:r>
        <w:rPr>
          <w:rFonts w:ascii="Calibri" w:hAnsi="Calibri" w:eastAsia="Calibri"/>
          <w:color w:val="23272B"/>
        </w:rPr>
        <w:t>To the maximum extent permitted by law, Content is provided without an express or implied warranty as to completeness, accuracy, currency, availability, merchantability, fitness for a particular purpose or non-infringement. We are not liable for loss arising solely from reliance on general Content, a third-party act or omission, interruption, unauthorised access, or use of a linked service, except to the extent liability cannot lawfully be excluded.</w:t>
      </w:r>
    </w:p>
    <w:p>
      <w:pPr>
        <w:widowControl/>
        <w:spacing w:before="0" w:after="120" w:line="264" w:lineRule="auto"/>
      </w:pPr>
      <w:r>
        <w:rPr>
          <w:rFonts w:ascii="Calibri" w:hAnsi="Calibri" w:eastAsia="Calibri"/>
          <w:color w:val="23272B"/>
        </w:rPr>
        <w:t>To the maximum extent permitted by law, Luxurious Group excludes liability for indirect, incidental, special or consequential loss, loss of opportunity, revenue, profit, goodwill, data or anticipated savings arising from use of the Content. This paragraph does not exclude liability for fraud, deliberate misconduct, personal injury caused by negligence, or any other liability that cannot be excluded or limited by law.</w:t>
      </w:r>
    </w:p>
    <w:p>
      <w:pPr>
        <w:pStyle w:val="Heading2"/>
      </w:pPr>
      <w:r>
        <w:t>14. Australian Consumer Law</w:t>
      </w:r>
    </w:p>
    <w:p>
      <w:pPr>
        <w:widowControl/>
        <w:spacing w:before="0" w:after="120" w:line="264" w:lineRule="auto"/>
      </w:pPr>
      <w:r>
        <w:rPr>
          <w:rFonts w:ascii="Calibri" w:hAnsi="Calibri" w:eastAsia="Calibri"/>
          <w:color w:val="23272B"/>
        </w:rPr>
        <w:t>Nothing in this Disclaimer excludes, restricts or modifies a consumer guarantee, right, remedy or liability under the Competition and Consumer Act 2010 (Cth), the Australian Consumer Law or another law where doing so would be unlawful. Where Luxurious Group supplies goods or services to a consumer, the applicable statutory guarantees continue to apply.</w:t>
      </w:r>
    </w:p>
    <w:p>
      <w:pPr>
        <w:pStyle w:val="Heading2"/>
      </w:pPr>
      <w:r>
        <w:t>15. Confidential submissions</w:t>
      </w:r>
    </w:p>
    <w:p>
      <w:pPr>
        <w:widowControl/>
        <w:spacing w:before="0" w:after="120" w:line="264" w:lineRule="auto"/>
      </w:pPr>
      <w:r>
        <w:rPr>
          <w:rFonts w:ascii="Calibri" w:hAnsi="Calibri" w:eastAsia="Calibri"/>
          <w:color w:val="23272B"/>
        </w:rPr>
        <w:t>We treat personal information in accordance with our Privacy Policy and seek to handle genuine commercial information discreetly. However, a general website enquiry does not by itself create legal professional privilege, a fiduciary duty or a contractual confidentiality obligation. Do not submit trade secrets, passwords, full payment-card data, unrequested identity documents or other highly sensitive material until an appropriate channel and, where necessary, confidentiality agreement are in place.</w:t>
      </w:r>
    </w:p>
    <w:p>
      <w:pPr>
        <w:pStyle w:val="Heading2"/>
      </w:pPr>
      <w:r>
        <w:t>16. Governing law</w:t>
      </w:r>
    </w:p>
    <w:p>
      <w:pPr>
        <w:widowControl/>
        <w:spacing w:before="0" w:after="120" w:line="264" w:lineRule="auto"/>
      </w:pPr>
      <w:r>
        <w:rPr>
          <w:rFonts w:ascii="Calibri" w:hAnsi="Calibri" w:eastAsia="Calibri"/>
          <w:color w:val="23272B"/>
        </w:rPr>
        <w:t>This Disclaimer is governed by the laws of Queensland, Australia. Subject to any mandatory consumer right to bring a claim elsewhere, users submit to the non-exclusive jurisdiction of the courts of Queensland and courts entitled to hear appeals from them.</w:t>
      </w:r>
    </w:p>
    <w:p>
      <w:pPr>
        <w:pStyle w:val="Heading2"/>
      </w:pPr>
      <w:r>
        <w:t>17. Updates and contact</w:t>
      </w:r>
    </w:p>
    <w:p>
      <w:pPr>
        <w:widowControl/>
        <w:spacing w:before="0" w:after="120" w:line="264" w:lineRule="auto"/>
      </w:pPr>
      <w:r>
        <w:rPr>
          <w:rFonts w:ascii="Calibri" w:hAnsi="Calibri" w:eastAsia="Calibri"/>
          <w:color w:val="23272B"/>
        </w:rPr>
        <w:t>We may update this Disclaimer by publishing a revised version. Questions about Content should be directed to info@luxuriousgroup.com.au, 0459 179 857, or Luxurious Group Australia Pty Ltd, 404/1 Como Crescent, Southport QLD 4215, Australia.</w:t>
      </w:r>
    </w:p>
    <w:p>
      <w:r>
        <w:br w:type="page"/>
      </w:r>
    </w:p>
    <w:p>
      <w:pPr>
        <w:pStyle w:val="Kicker"/>
      </w:pPr>
      <w:r>
        <w:t>SECTION 6</w:t>
      </w:r>
    </w:p>
    <w:p>
      <w:pPr>
        <w:pStyle w:val="Heading1"/>
        <w:spacing w:before="0"/>
      </w:pPr>
      <w:r>
        <w:t>Short Disclaimer Versions</w:t>
      </w:r>
    </w:p>
    <w:p>
      <w:pPr>
        <w:pStyle w:val="Lead"/>
        <w:keepNext/>
      </w:pPr>
      <w:r>
        <w:t>Use the shortest version that remains suitable for the channel, and link to the full Disclaimer where possible.</w:t>
      </w:r>
    </w:p>
    <w:p>
      <w:pPr>
        <w:pStyle w:val="Heading2"/>
      </w:pPr>
      <w:r>
        <w:t>General website footer</w:t>
      </w:r>
    </w:p>
    <w:p>
      <w:pPr>
        <w:pStyle w:val="Callout"/>
        <w:shd w:fill="EDF1F5" w:val="clear"/>
        <w:pBdr>
          <w:left w:val="single" w:sz="20" w:space="8" w:color="9C7A38"/>
        </w:pBdr>
      </w:pPr>
      <w:r>
        <w:rPr>
          <w:rFonts w:ascii="Calibri" w:hAnsi="Calibri" w:eastAsia="Calibri"/>
          <w:b/>
          <w:color w:val="23364D"/>
        </w:rPr>
        <w:t xml:space="preserve">Ready-to-use wording: </w:t>
      </w:r>
      <w:r>
        <w:rPr>
          <w:rFonts w:ascii="Calibri" w:hAnsi="Calibri" w:eastAsia="Calibri"/>
          <w:color w:val="23272B"/>
        </w:rPr>
        <w:t>Information on this website is general and may change without notice. It is not legal, financial, investment, property, building, tax or other professional advice. Verify material information and obtain independent advice before acting. Third-party listings and services are supplied by independent providers. Nothing excludes rights that cannot be excluded under Australian law. Read our full Disclaimer and Privacy Policy.</w:t>
      </w:r>
    </w:p>
    <w:p>
      <w:pPr>
        <w:pStyle w:val="Heading2"/>
      </w:pPr>
      <w:r>
        <w:t>Proposal or opportunity document</w:t>
      </w:r>
    </w:p>
    <w:p>
      <w:pPr>
        <w:pStyle w:val="Callout"/>
        <w:shd w:fill="F4EEE1" w:val="clear"/>
        <w:pBdr>
          <w:left w:val="single" w:sz="20" w:space="8" w:color="9C7A38"/>
        </w:pBdr>
      </w:pPr>
      <w:r>
        <w:rPr>
          <w:rFonts w:ascii="Calibri" w:hAnsi="Calibri" w:eastAsia="Calibri"/>
          <w:b/>
          <w:color w:val="23364D"/>
        </w:rPr>
        <w:t xml:space="preserve">Ready-to-use wording: </w:t>
      </w:r>
      <w:r>
        <w:rPr>
          <w:rFonts w:ascii="Calibri" w:hAnsi="Calibri" w:eastAsia="Calibri"/>
          <w:color w:val="23272B"/>
        </w:rPr>
        <w:t>This material is confidential, preliminary and for discussion only. It is not a binding offer, financial product advice, credit approval, prospectus or guarantee of performance. Figures, valuations, returns, timeframes, designs and approvals are indicative and depend on assumptions and third-party matters. Recipients must conduct their own due diligence and obtain independent legal, financial, tax, property and technical advice. Any commitment is subject to definitive documents signed by authorised parties.</w:t>
      </w:r>
    </w:p>
    <w:p>
      <w:pPr>
        <w:pStyle w:val="Heading2"/>
      </w:pPr>
      <w:r>
        <w:t>Property render or concept image</w:t>
      </w:r>
    </w:p>
    <w:p>
      <w:pPr>
        <w:pStyle w:val="Callout"/>
        <w:shd w:fill="F4EEE1" w:val="clear"/>
        <w:pBdr>
          <w:left w:val="single" w:sz="20" w:space="8" w:color="9C7A38"/>
        </w:pBdr>
      </w:pPr>
      <w:r>
        <w:rPr>
          <w:rFonts w:ascii="Calibri" w:hAnsi="Calibri" w:eastAsia="Calibri"/>
          <w:b/>
          <w:color w:val="23364D"/>
        </w:rPr>
        <w:t xml:space="preserve">Ready-to-use caption: </w:t>
      </w:r>
      <w:r>
        <w:rPr>
          <w:rFonts w:ascii="Calibri" w:hAnsi="Calibri" w:eastAsia="Calibri"/>
          <w:color w:val="23272B"/>
        </w:rPr>
        <w:t>Artist impression / concept only. Not to scale. Finishes, furniture, landscaping, views, dimensions, inclusions and site outcomes may vary and remain subject to design development, engineering, approvals, site conditions, supplier availability and contract.</w:t>
      </w:r>
    </w:p>
    <w:p>
      <w:pPr>
        <w:pStyle w:val="Heading2"/>
      </w:pPr>
      <w:r>
        <w:t>Directory listing</w:t>
      </w:r>
    </w:p>
    <w:p>
      <w:pPr>
        <w:pStyle w:val="Callout"/>
        <w:shd w:fill="EDF1F5" w:val="clear"/>
        <w:pBdr>
          <w:left w:val="single" w:sz="20" w:space="8" w:color="9C7A38"/>
        </w:pBdr>
      </w:pPr>
      <w:r>
        <w:rPr>
          <w:rFonts w:ascii="Calibri" w:hAnsi="Calibri" w:eastAsia="Calibri"/>
          <w:b/>
          <w:color w:val="23364D"/>
        </w:rPr>
        <w:t xml:space="preserve">Ready-to-use wording: </w:t>
      </w:r>
      <w:r>
        <w:rPr>
          <w:rFonts w:ascii="Calibri" w:hAnsi="Calibri" w:eastAsia="Calibri"/>
          <w:color w:val="23272B"/>
        </w:rPr>
        <w:t>Listings are supplied by independent businesses and are not a guarantee or endorsement by Luxurious Group. Verify prices, availability, qualifications, licences, insurance, terms and suitability directly with the provider before purchasing or engaging.</w:t>
      </w:r>
    </w:p>
    <w:p>
      <w:pPr>
        <w:pStyle w:val="Heading2"/>
      </w:pPr>
      <w:r>
        <w:t>Social or promotional post</w:t>
      </w:r>
    </w:p>
    <w:p>
      <w:pPr>
        <w:pStyle w:val="Callout"/>
        <w:shd w:fill="EDF1F5" w:val="clear"/>
        <w:pBdr>
          <w:left w:val="single" w:sz="20" w:space="8" w:color="9C7A38"/>
        </w:pBdr>
      </w:pPr>
      <w:r>
        <w:rPr>
          <w:rFonts w:ascii="Calibri" w:hAnsi="Calibri" w:eastAsia="Calibri"/>
          <w:b/>
          <w:color w:val="23364D"/>
        </w:rPr>
        <w:t xml:space="preserve">Ready-to-use wording: </w:t>
      </w:r>
      <w:r>
        <w:rPr>
          <w:rFonts w:ascii="Calibri" w:hAnsi="Calibri" w:eastAsia="Calibri"/>
          <w:color w:val="23272B"/>
        </w:rPr>
        <w:t>General information only. Availability, eligibility, pricing and terms apply and may change. Independent due diligence and professional advice may be required. See the full details and disclaimer at luxuriousgroup.com.au.</w:t>
      </w:r>
    </w:p>
    <w:p>
      <w:r>
        <w:br w:type="page"/>
      </w:r>
    </w:p>
    <w:p>
      <w:pPr>
        <w:pStyle w:val="Kicker"/>
      </w:pPr>
      <w:r>
        <w:t>SECTION 7</w:t>
      </w:r>
    </w:p>
    <w:p>
      <w:pPr>
        <w:pStyle w:val="Heading1"/>
        <w:spacing w:before="0"/>
      </w:pPr>
      <w:r>
        <w:t>Implementation and Legal Review Checklist</w:t>
      </w:r>
    </w:p>
    <w:p>
      <w:pPr>
        <w:pStyle w:val="Lead"/>
        <w:keepNext/>
      </w:pPr>
      <w:r>
        <w:t>The policy wording must match what the business actually does. Complete these actions before public release and revisit them whenever systems, forms, providers or services change.</w:t>
      </w:r>
    </w:p>
    <w:p>
      <w:pPr>
        <w:keepLines w:val="0"/>
        <w:widowControl/>
        <w:numPr>
          <w:ilvl w:val="0"/>
          <w:numId w:val="42"/>
        </w:numPr>
        <w:spacing w:after="160" w:line="280" w:lineRule="auto"/>
      </w:pPr>
      <w:r>
        <w:rPr>
          <w:rFonts w:ascii="Calibri" w:hAnsi="Calibri" w:eastAsia="Calibri"/>
          <w:b/>
          <w:color w:val="23272B"/>
        </w:rPr>
        <w:t>Confirm corporate details:</w:t>
      </w:r>
      <w:r>
        <w:rPr>
          <w:rFonts w:ascii="Calibri" w:hAnsi="Calibri" w:eastAsia="Calibri"/>
          <w:color w:val="23272B"/>
        </w:rPr>
        <w:t xml:space="preserve"> Verify the entity name, ACN, current registered office, principal business address, telephone number and privacy contact before publication. This draft uses 404/1 Como Crescent, Southport QLD 4215 as the principal business address.</w:t>
      </w:r>
    </w:p>
    <w:p>
      <w:pPr>
        <w:keepLines w:val="0"/>
        <w:widowControl/>
        <w:numPr>
          <w:ilvl w:val="0"/>
          <w:numId w:val="42"/>
        </w:numPr>
        <w:spacing w:after="160" w:line="280" w:lineRule="auto"/>
      </w:pPr>
      <w:r>
        <w:rPr>
          <w:rFonts w:ascii="Calibri" w:hAnsi="Calibri" w:eastAsia="Calibri"/>
          <w:b/>
          <w:color w:val="23272B"/>
        </w:rPr>
        <w:t>Define the covered sites and entities:</w:t>
      </w:r>
      <w:r>
        <w:rPr>
          <w:rFonts w:ascii="Calibri" w:hAnsi="Calibri" w:eastAsia="Calibri"/>
          <w:color w:val="23272B"/>
        </w:rPr>
        <w:t xml:space="preserve"> Identify every website, directory, membership program and trading brand operated by Luxurious Group Australia Pty Ltd. Separately incorporated entities should adopt or issue the policy formally rather than being assumed to be covered.</w:t>
      </w:r>
    </w:p>
    <w:p>
      <w:pPr>
        <w:keepLines w:val="0"/>
        <w:widowControl/>
        <w:numPr>
          <w:ilvl w:val="0"/>
          <w:numId w:val="42"/>
        </w:numPr>
        <w:spacing w:after="160" w:line="280" w:lineRule="auto"/>
      </w:pPr>
      <w:r>
        <w:rPr>
          <w:rFonts w:ascii="Calibri" w:hAnsi="Calibri" w:eastAsia="Calibri"/>
          <w:b/>
          <w:color w:val="23272B"/>
        </w:rPr>
        <w:t>Appoint a Privacy Officer:</w:t>
      </w:r>
      <w:r>
        <w:rPr>
          <w:rFonts w:ascii="Calibri" w:hAnsi="Calibri" w:eastAsia="Calibri"/>
          <w:color w:val="23272B"/>
        </w:rPr>
        <w:t xml:space="preserve"> Nominate a responsible person, backup contact and internal escalation path for access requests, corrections, complaints and data incidents.</w:t>
      </w:r>
    </w:p>
    <w:p>
      <w:pPr>
        <w:keepLines w:val="0"/>
        <w:widowControl/>
        <w:numPr>
          <w:ilvl w:val="0"/>
          <w:numId w:val="42"/>
        </w:numPr>
        <w:spacing w:after="160" w:line="280" w:lineRule="auto"/>
      </w:pPr>
      <w:r>
        <w:rPr>
          <w:rFonts w:ascii="Calibri" w:hAnsi="Calibri" w:eastAsia="Calibri"/>
          <w:b/>
          <w:color w:val="23272B"/>
        </w:rPr>
        <w:t>Map personal information:</w:t>
      </w:r>
      <w:r>
        <w:rPr>
          <w:rFonts w:ascii="Calibri" w:hAnsi="Calibri" w:eastAsia="Calibri"/>
          <w:color w:val="23272B"/>
        </w:rPr>
        <w:t xml:space="preserve"> Record what each form and business process collects, where it is stored, who can access it, why it is needed, who receives it and how long it is retained.</w:t>
      </w:r>
    </w:p>
    <w:p>
      <w:pPr>
        <w:keepLines w:val="0"/>
        <w:widowControl/>
        <w:numPr>
          <w:ilvl w:val="0"/>
          <w:numId w:val="42"/>
        </w:numPr>
        <w:spacing w:after="160" w:line="280" w:lineRule="auto"/>
      </w:pPr>
      <w:r>
        <w:rPr>
          <w:rFonts w:ascii="Calibri" w:hAnsi="Calibri" w:eastAsia="Calibri"/>
          <w:b/>
          <w:color w:val="23272B"/>
        </w:rPr>
        <w:t>Audit providers and overseas locations:</w:t>
      </w:r>
      <w:r>
        <w:rPr>
          <w:rFonts w:ascii="Calibri" w:hAnsi="Calibri" w:eastAsia="Calibri"/>
          <w:color w:val="23272B"/>
        </w:rPr>
        <w:t xml:space="preserve"> Confirm the actual countries used by hosting, email, CRM, analytics, payment, document-signing, booking, marketing, identity and cloud providers. Update section 14 and collection notices to match.</w:t>
      </w:r>
    </w:p>
    <w:p>
      <w:pPr>
        <w:keepLines w:val="0"/>
        <w:widowControl/>
        <w:numPr>
          <w:ilvl w:val="0"/>
          <w:numId w:val="42"/>
        </w:numPr>
        <w:spacing w:after="160" w:line="280" w:lineRule="auto"/>
      </w:pPr>
      <w:r>
        <w:rPr>
          <w:rFonts w:ascii="Calibri" w:hAnsi="Calibri" w:eastAsia="Calibri"/>
          <w:b/>
          <w:color w:val="23272B"/>
        </w:rPr>
        <w:t>Use point-of-collection notices:</w:t>
      </w:r>
      <w:r>
        <w:rPr>
          <w:rFonts w:ascii="Calibri" w:hAnsi="Calibri" w:eastAsia="Calibri"/>
          <w:color w:val="23272B"/>
        </w:rPr>
        <w:t xml:space="preserve"> Place a short notice and direct Privacy Policy link beside every enquiry, Join Now, directory, booking, investor, partner, event and document-upload form.</w:t>
      </w:r>
    </w:p>
    <w:p>
      <w:pPr>
        <w:keepLines w:val="0"/>
        <w:widowControl/>
        <w:numPr>
          <w:ilvl w:val="0"/>
          <w:numId w:val="42"/>
        </w:numPr>
        <w:spacing w:after="160" w:line="280" w:lineRule="auto"/>
      </w:pPr>
      <w:r>
        <w:rPr>
          <w:rFonts w:ascii="Calibri" w:hAnsi="Calibri" w:eastAsia="Calibri"/>
          <w:b/>
          <w:color w:val="23272B"/>
        </w:rPr>
        <w:t>Separate optional marketing consent:</w:t>
      </w:r>
      <w:r>
        <w:rPr>
          <w:rFonts w:ascii="Calibri" w:hAnsi="Calibri" w:eastAsia="Calibri"/>
          <w:color w:val="23272B"/>
        </w:rPr>
        <w:t xml:space="preserve"> Use an unticked marketing checkbox, preserve consent records, identify the legal sender and include a functional unsubscribe method. Action covered unsubscribe requests within five working days.</w:t>
      </w:r>
    </w:p>
    <w:p>
      <w:pPr>
        <w:keepLines w:val="0"/>
        <w:widowControl/>
        <w:numPr>
          <w:ilvl w:val="0"/>
          <w:numId w:val="42"/>
        </w:numPr>
        <w:spacing w:after="160" w:line="280" w:lineRule="auto"/>
      </w:pPr>
      <w:r>
        <w:rPr>
          <w:rFonts w:ascii="Calibri" w:hAnsi="Calibri" w:eastAsia="Calibri"/>
          <w:b/>
          <w:color w:val="23272B"/>
        </w:rPr>
        <w:t>Review cookies and analytics:</w:t>
      </w:r>
      <w:r>
        <w:rPr>
          <w:rFonts w:ascii="Calibri" w:hAnsi="Calibri" w:eastAsia="Calibri"/>
          <w:color w:val="23272B"/>
        </w:rPr>
        <w:t xml:space="preserve"> Prepare a cookie register, remove unused trackers and implement a consent or preference tool where required by the technology, target audience or applicable law.</w:t>
      </w:r>
    </w:p>
    <w:p>
      <w:pPr>
        <w:keepLines w:val="0"/>
        <w:widowControl/>
        <w:numPr>
          <w:ilvl w:val="0"/>
          <w:numId w:val="42"/>
        </w:numPr>
        <w:spacing w:after="160" w:line="280" w:lineRule="auto"/>
      </w:pPr>
      <w:r>
        <w:rPr>
          <w:rFonts w:ascii="Calibri" w:hAnsi="Calibri" w:eastAsia="Calibri"/>
          <w:b/>
          <w:color w:val="23272B"/>
        </w:rPr>
        <w:t>Secure sensitive workflows:</w:t>
      </w:r>
      <w:r>
        <w:rPr>
          <w:rFonts w:ascii="Calibri" w:hAnsi="Calibri" w:eastAsia="Calibri"/>
          <w:color w:val="23272B"/>
        </w:rPr>
        <w:t xml:space="preserve"> Use appropriate protected channels for identity, financial, due-diligence and transaction documents. Enforce multi-factor authentication, least-privilege access and independent verification of payment instructions.</w:t>
      </w:r>
    </w:p>
    <w:p>
      <w:pPr>
        <w:keepLines w:val="0"/>
        <w:widowControl/>
        <w:numPr>
          <w:ilvl w:val="0"/>
          <w:numId w:val="42"/>
        </w:numPr>
        <w:spacing w:after="160" w:line="280" w:lineRule="auto"/>
      </w:pPr>
      <w:r>
        <w:rPr>
          <w:rFonts w:ascii="Calibri" w:hAnsi="Calibri" w:eastAsia="Calibri"/>
          <w:b/>
          <w:color w:val="23272B"/>
        </w:rPr>
        <w:t>Set a retention schedule:</w:t>
      </w:r>
      <w:r>
        <w:rPr>
          <w:rFonts w:ascii="Calibri" w:hAnsi="Calibri" w:eastAsia="Calibri"/>
          <w:color w:val="23272B"/>
        </w:rPr>
        <w:t xml:space="preserve"> Define retention periods by record type, including enquiries, rejected applications, memberships, contracts, accounting records, project files, identity checks, marketing consents and incident records.</w:t>
      </w:r>
    </w:p>
    <w:p>
      <w:pPr>
        <w:keepLines w:val="0"/>
        <w:widowControl/>
        <w:numPr>
          <w:ilvl w:val="0"/>
          <w:numId w:val="42"/>
        </w:numPr>
        <w:spacing w:after="160" w:line="280" w:lineRule="auto"/>
      </w:pPr>
      <w:r>
        <w:rPr>
          <w:rFonts w:ascii="Calibri" w:hAnsi="Calibri" w:eastAsia="Calibri"/>
          <w:b/>
          <w:color w:val="23272B"/>
        </w:rPr>
        <w:t>Prepare a data-breach response plan:</w:t>
      </w:r>
      <w:r>
        <w:rPr>
          <w:rFonts w:ascii="Calibri" w:hAnsi="Calibri" w:eastAsia="Calibri"/>
          <w:color w:val="23272B"/>
        </w:rPr>
        <w:t xml:space="preserve"> Assign roles for containment, assessment, legal review, communication, notification and remediation, and keep current contact details for the OAIC, cybersecurity advisers, insurers and affected providers.</w:t>
      </w:r>
    </w:p>
    <w:p>
      <w:pPr>
        <w:keepLines w:val="0"/>
        <w:widowControl/>
        <w:numPr>
          <w:ilvl w:val="0"/>
          <w:numId w:val="42"/>
        </w:numPr>
        <w:spacing w:after="160" w:line="280" w:lineRule="auto"/>
      </w:pPr>
      <w:r>
        <w:rPr>
          <w:rFonts w:ascii="Calibri" w:hAnsi="Calibri" w:eastAsia="Calibri"/>
          <w:b/>
          <w:color w:val="23272B"/>
        </w:rPr>
        <w:t>Review automated tools before 10 December 2026:</w:t>
      </w:r>
      <w:r>
        <w:rPr>
          <w:rFonts w:ascii="Calibri" w:hAnsi="Calibri" w:eastAsia="Calibri"/>
          <w:color w:val="23272B"/>
        </w:rPr>
        <w:t xml:space="preserve"> Document whether any CRM, scoring, AI, fraud, matching or approval tool uses personal information in a decision that could significantly affect a person’s rights or interests. Update the Privacy Policy with the legally required categories if it does.</w:t>
      </w:r>
    </w:p>
    <w:p>
      <w:pPr>
        <w:keepLines w:val="0"/>
        <w:widowControl/>
        <w:numPr>
          <w:ilvl w:val="0"/>
          <w:numId w:val="42"/>
        </w:numPr>
        <w:spacing w:after="160" w:line="280" w:lineRule="auto"/>
      </w:pPr>
      <w:r>
        <w:rPr>
          <w:rFonts w:ascii="Calibri" w:hAnsi="Calibri" w:eastAsia="Calibri"/>
          <w:b/>
          <w:color w:val="23272B"/>
        </w:rPr>
        <w:t>Confirm licences and regulated-service wording:</w:t>
      </w:r>
      <w:r>
        <w:rPr>
          <w:rFonts w:ascii="Calibri" w:hAnsi="Calibri" w:eastAsia="Calibri"/>
          <w:color w:val="23272B"/>
        </w:rPr>
        <w:t xml:space="preserve"> Have a solicitor check each property, finance, investment, building, development, travel and professional-service page so the Group’s role, provider identity, licences, commissions and consumer obligations are accurately disclosed.</w:t>
      </w:r>
    </w:p>
    <w:p>
      <w:pPr>
        <w:keepLines w:val="0"/>
        <w:widowControl/>
        <w:numPr>
          <w:ilvl w:val="0"/>
          <w:numId w:val="42"/>
        </w:numPr>
        <w:spacing w:after="160" w:line="280" w:lineRule="auto"/>
      </w:pPr>
      <w:r>
        <w:rPr>
          <w:rFonts w:ascii="Calibri" w:hAnsi="Calibri" w:eastAsia="Calibri"/>
          <w:b/>
          <w:color w:val="23272B"/>
        </w:rPr>
        <w:t>Incorporate confidentiality terms properly:</w:t>
      </w:r>
      <w:r>
        <w:rPr>
          <w:rFonts w:ascii="Calibri" w:hAnsi="Calibri" w:eastAsia="Calibri"/>
          <w:color w:val="23272B"/>
        </w:rPr>
        <w:t xml:space="preserve"> Place the full clause in signed or expressly accepted terms for sensitive dealings. Use the short footer as an additional warning, not as the sole confidentiality protection.</w:t>
      </w:r>
    </w:p>
    <w:p>
      <w:pPr>
        <w:keepLines w:val="0"/>
        <w:widowControl/>
        <w:numPr>
          <w:ilvl w:val="0"/>
          <w:numId w:val="42"/>
        </w:numPr>
        <w:spacing w:after="160" w:line="280" w:lineRule="auto"/>
      </w:pPr>
      <w:r>
        <w:rPr>
          <w:rFonts w:ascii="Calibri" w:hAnsi="Calibri" w:eastAsia="Calibri"/>
          <w:b/>
          <w:color w:val="23272B"/>
        </w:rPr>
        <w:t>Review standard-form terms for fairness:</w:t>
      </w:r>
      <w:r>
        <w:rPr>
          <w:rFonts w:ascii="Calibri" w:hAnsi="Calibri" w:eastAsia="Calibri"/>
          <w:color w:val="23272B"/>
        </w:rPr>
        <w:t xml:space="preserve"> Ensure exclusions, cancellation rights, unilateral changes, indemnities and liability clauses comply with Australian Consumer Law and unfair-contract-term rules for consumers and small businesses.</w:t>
      </w:r>
    </w:p>
    <w:p>
      <w:pPr>
        <w:keepLines w:val="0"/>
        <w:widowControl/>
        <w:numPr>
          <w:ilvl w:val="0"/>
          <w:numId w:val="42"/>
        </w:numPr>
        <w:spacing w:after="160" w:line="280" w:lineRule="auto"/>
      </w:pPr>
      <w:r>
        <w:rPr>
          <w:rFonts w:ascii="Calibri" w:hAnsi="Calibri" w:eastAsia="Calibri"/>
          <w:b/>
          <w:color w:val="23272B"/>
        </w:rPr>
        <w:t>Schedule review and evidence compliance:</w:t>
      </w:r>
      <w:r>
        <w:rPr>
          <w:rFonts w:ascii="Calibri" w:hAnsi="Calibri" w:eastAsia="Calibri"/>
          <w:color w:val="23272B"/>
        </w:rPr>
        <w:t xml:space="preserve"> Review at least annually and after material changes. Keep dated approvals, provider checks, consent records, policy versions, staff training and incident-response records.</w:t>
      </w:r>
    </w:p>
    <w:p>
      <w:pPr>
        <w:pStyle w:val="Heading2"/>
      </w:pPr>
      <w:r>
        <w:t>Recommended publication set</w:t>
      </w:r>
    </w:p>
    <w:p>
      <w:pPr>
        <w:keepLines w:val="0"/>
        <w:widowControl/>
        <w:numPr>
          <w:ilvl w:val="0"/>
          <w:numId w:val="42"/>
        </w:numPr>
        <w:spacing w:after="160" w:line="280" w:lineRule="auto"/>
      </w:pPr>
      <w:r>
        <w:rPr>
          <w:rFonts w:ascii="Calibri" w:hAnsi="Calibri" w:eastAsia="Calibri"/>
          <w:color w:val="23272B"/>
        </w:rPr>
        <w:t>Privacy Policy</w:t>
      </w:r>
    </w:p>
    <w:p>
      <w:pPr>
        <w:keepLines w:val="0"/>
        <w:widowControl/>
        <w:numPr>
          <w:ilvl w:val="0"/>
          <w:numId w:val="42"/>
        </w:numPr>
        <w:spacing w:after="160" w:line="280" w:lineRule="auto"/>
      </w:pPr>
      <w:r>
        <w:rPr>
          <w:rFonts w:ascii="Calibri" w:hAnsi="Calibri" w:eastAsia="Calibri"/>
          <w:color w:val="23272B"/>
        </w:rPr>
        <w:t>Website Terms of Use</w:t>
      </w:r>
    </w:p>
    <w:p>
      <w:pPr>
        <w:keepLines w:val="0"/>
        <w:widowControl/>
        <w:numPr>
          <w:ilvl w:val="0"/>
          <w:numId w:val="42"/>
        </w:numPr>
        <w:spacing w:after="160" w:line="280" w:lineRule="auto"/>
      </w:pPr>
      <w:r>
        <w:rPr>
          <w:rFonts w:ascii="Calibri" w:hAnsi="Calibri" w:eastAsia="Calibri"/>
          <w:color w:val="23272B"/>
        </w:rPr>
        <w:t>Website and Document Disclaimer</w:t>
      </w:r>
    </w:p>
    <w:p>
      <w:pPr>
        <w:keepLines w:val="0"/>
        <w:widowControl/>
        <w:numPr>
          <w:ilvl w:val="0"/>
          <w:numId w:val="42"/>
        </w:numPr>
        <w:spacing w:after="160" w:line="280" w:lineRule="auto"/>
      </w:pPr>
      <w:r>
        <w:rPr>
          <w:rFonts w:ascii="Calibri" w:hAnsi="Calibri" w:eastAsia="Calibri"/>
          <w:color w:val="23272B"/>
        </w:rPr>
        <w:t>Cookie Notice or Cookie Settings, if applicable</w:t>
      </w:r>
    </w:p>
    <w:p>
      <w:pPr>
        <w:keepLines w:val="0"/>
        <w:widowControl/>
        <w:numPr>
          <w:ilvl w:val="0"/>
          <w:numId w:val="42"/>
        </w:numPr>
        <w:spacing w:after="160" w:line="280" w:lineRule="auto"/>
      </w:pPr>
      <w:r>
        <w:rPr>
          <w:rFonts w:ascii="Calibri" w:hAnsi="Calibri" w:eastAsia="Calibri"/>
          <w:color w:val="23272B"/>
        </w:rPr>
        <w:t>Directory / Listing Terms</w:t>
      </w:r>
    </w:p>
    <w:p>
      <w:pPr>
        <w:keepLines w:val="0"/>
        <w:widowControl/>
        <w:numPr>
          <w:ilvl w:val="0"/>
          <w:numId w:val="42"/>
        </w:numPr>
        <w:spacing w:after="160" w:line="280" w:lineRule="auto"/>
      </w:pPr>
      <w:r>
        <w:rPr>
          <w:rFonts w:ascii="Calibri" w:hAnsi="Calibri" w:eastAsia="Calibri"/>
          <w:color w:val="23272B"/>
        </w:rPr>
        <w:t>Membership / Join Now Terms</w:t>
      </w:r>
    </w:p>
    <w:p>
      <w:pPr>
        <w:keepLines w:val="0"/>
        <w:widowControl/>
        <w:numPr>
          <w:ilvl w:val="0"/>
          <w:numId w:val="42"/>
        </w:numPr>
        <w:spacing w:after="160" w:line="280" w:lineRule="auto"/>
      </w:pPr>
      <w:r>
        <w:rPr>
          <w:rFonts w:ascii="Calibri" w:hAnsi="Calibri" w:eastAsia="Calibri"/>
          <w:color w:val="23272B"/>
        </w:rPr>
        <w:t>Service-specific terms, quotation or engagement agreement</w:t>
      </w:r>
    </w:p>
    <w:p>
      <w:pPr>
        <w:keepLines w:val="0"/>
        <w:widowControl/>
        <w:numPr>
          <w:ilvl w:val="0"/>
          <w:numId w:val="42"/>
        </w:numPr>
        <w:spacing w:after="160" w:line="280" w:lineRule="auto"/>
      </w:pPr>
      <w:r>
        <w:rPr>
          <w:rFonts w:ascii="Calibri" w:hAnsi="Calibri" w:eastAsia="Calibri"/>
          <w:color w:val="23272B"/>
        </w:rPr>
        <w:t>Returns, cancellation and refund information where goods or consumer services are supplied</w:t>
      </w:r>
    </w:p>
    <w:p>
      <w:pPr>
        <w:keepLines w:val="0"/>
        <w:widowControl/>
        <w:numPr>
          <w:ilvl w:val="0"/>
          <w:numId w:val="42"/>
        </w:numPr>
        <w:spacing w:after="160" w:line="280" w:lineRule="auto"/>
      </w:pPr>
      <w:r>
        <w:rPr>
          <w:rFonts w:ascii="Calibri" w:hAnsi="Calibri" w:eastAsia="Calibri"/>
          <w:color w:val="23272B"/>
        </w:rPr>
        <w:t>Accessibility and complaints contact information</w:t>
      </w:r>
    </w:p>
    <w:p>
      <w:r>
        <w:br w:type="page"/>
      </w:r>
    </w:p>
    <w:p>
      <w:pPr>
        <w:pStyle w:val="Kicker"/>
      </w:pPr>
      <w:r>
        <w:t>SECTION 8</w:t>
      </w:r>
    </w:p>
    <w:p>
      <w:pPr>
        <w:pStyle w:val="Heading1"/>
        <w:spacing w:before="0"/>
      </w:pPr>
      <w:r>
        <w:t>Official Drafting References</w:t>
      </w:r>
    </w:p>
    <w:p>
      <w:pPr>
        <w:pStyle w:val="Lead"/>
        <w:keepNext/>
      </w:pPr>
      <w:r>
        <w:t>Current Australian reference points checked when this pack was prepared on 27 July 2026.</w:t>
      </w:r>
    </w:p>
    <w:p>
      <w:pPr>
        <w:pStyle w:val="Callout"/>
        <w:shd w:fill="EDF1F5" w:val="clear"/>
        <w:pBdr>
          <w:left w:val="single" w:sz="20" w:space="8" w:color="9C7A38"/>
        </w:pBdr>
      </w:pPr>
      <w:r>
        <w:rPr>
          <w:rFonts w:ascii="Calibri" w:hAnsi="Calibri" w:eastAsia="Calibri"/>
          <w:b/>
          <w:color w:val="23364D"/>
        </w:rPr>
        <w:t xml:space="preserve">Scope: </w:t>
      </w:r>
      <w:r>
        <w:rPr>
          <w:rFonts w:ascii="Calibri" w:hAnsi="Calibri" w:eastAsia="Calibri"/>
          <w:color w:val="23272B"/>
        </w:rPr>
        <w:t>These references support the drafting approach but are not a substitute for advice about Luxurious Group’s precise legal obligations, licences, contracts, turnover, providers or data practices.</w:t>
      </w:r>
    </w:p>
    <w:p>
      <w:pPr>
        <w:pStyle w:val="SourceNote"/>
      </w:pPr>
      <w:r>
        <w:rPr>
          <w:rFonts w:ascii="Calibri" w:hAnsi="Calibri" w:eastAsia="Calibri"/>
          <w:b/>
          <w:color w:val="23364D"/>
          <w:sz w:val="19"/>
        </w:rPr>
        <w:t>Privacy Act 1988 (Cth), Federal Register of Legislation</w:t>
        <w:br/>
      </w:r>
      <w:hyperlink r:id="rId13">
        <w:r>
          <w:rPr>
            <w:rFonts w:ascii="Calibri" w:hAnsi="Calibri"/>
            <w:color w:val="23364D"/>
            <w:u w:val="single"/>
            <w:sz w:val="20"/>
          </w:rPr>
          <w:t>https://www.legislation.gov.au/C2004A03712/latest/text</w:t>
        </w:r>
      </w:hyperlink>
    </w:p>
    <w:p>
      <w:pPr>
        <w:pStyle w:val="SourceNote"/>
      </w:pPr>
      <w:r>
        <w:rPr>
          <w:rFonts w:ascii="Calibri" w:hAnsi="Calibri" w:eastAsia="Calibri"/>
          <w:b/>
          <w:color w:val="23364D"/>
          <w:sz w:val="19"/>
        </w:rPr>
        <w:t>OAIC — Australian Privacy Principles Guidelines</w:t>
        <w:br/>
      </w:r>
      <w:hyperlink r:id="rId14">
        <w:r>
          <w:rPr>
            <w:rFonts w:ascii="Calibri" w:hAnsi="Calibri"/>
            <w:color w:val="23364D"/>
            <w:u w:val="single"/>
            <w:sz w:val="20"/>
          </w:rPr>
          <w:t>https://www.oaic.gov.au/privacy/australian-privacy-principles/australian-privacy-principles-guidelines</w:t>
        </w:r>
      </w:hyperlink>
    </w:p>
    <w:p>
      <w:pPr>
        <w:pStyle w:val="SourceNote"/>
      </w:pPr>
      <w:r>
        <w:rPr>
          <w:rFonts w:ascii="Calibri" w:hAnsi="Calibri" w:eastAsia="Calibri"/>
          <w:b/>
          <w:color w:val="23364D"/>
          <w:sz w:val="19"/>
        </w:rPr>
        <w:t>OAIC — APP 1: Open and transparent management of personal information</w:t>
        <w:br/>
      </w:r>
      <w:hyperlink r:id="rId15">
        <w:r>
          <w:rPr>
            <w:rFonts w:ascii="Calibri" w:hAnsi="Calibri"/>
            <w:color w:val="23364D"/>
            <w:u w:val="single"/>
            <w:sz w:val="20"/>
          </w:rPr>
          <w:t>https://www.oaic.gov.au/privacy/australian-privacy-principles/australian-privacy-principles-guidelines/chapter-1-app-1-open-and-transparent-management-of-personal-information</w:t>
        </w:r>
      </w:hyperlink>
    </w:p>
    <w:p>
      <w:pPr>
        <w:pStyle w:val="SourceNote"/>
      </w:pPr>
      <w:r>
        <w:rPr>
          <w:rFonts w:ascii="Calibri" w:hAnsi="Calibri" w:eastAsia="Calibri"/>
          <w:b/>
          <w:color w:val="23364D"/>
          <w:sz w:val="19"/>
        </w:rPr>
        <w:t>OAIC — About the Notifiable Data Breaches scheme</w:t>
        <w:br/>
      </w:r>
      <w:hyperlink r:id="rId16">
        <w:r>
          <w:rPr>
            <w:rFonts w:ascii="Calibri" w:hAnsi="Calibri"/>
            <w:color w:val="23364D"/>
            <w:u w:val="single"/>
            <w:sz w:val="20"/>
          </w:rPr>
          <w:t>https://www.oaic.gov.au/privacy/notifiable-data-breaches/about-the-notifiable-data-breaches-scheme</w:t>
        </w:r>
      </w:hyperlink>
    </w:p>
    <w:p>
      <w:pPr>
        <w:pStyle w:val="SourceNote"/>
      </w:pPr>
      <w:r>
        <w:rPr>
          <w:rFonts w:ascii="Calibri" w:hAnsi="Calibri" w:eastAsia="Calibri"/>
          <w:b/>
          <w:color w:val="23364D"/>
          <w:sz w:val="19"/>
        </w:rPr>
        <w:t>OAIC — APP 8: Cross-border disclosure of personal information</w:t>
        <w:br/>
      </w:r>
      <w:hyperlink r:id="rId17">
        <w:r>
          <w:rPr>
            <w:rFonts w:ascii="Calibri" w:hAnsi="Calibri"/>
            <w:color w:val="23364D"/>
            <w:u w:val="single"/>
            <w:sz w:val="20"/>
          </w:rPr>
          <w:t>https://www.oaic.gov.au/privacy/australian-privacy-principles/australian-privacy-principles-guidelines/chapter-8-app-8-cross-border-disclosure-of-personal-information</w:t>
        </w:r>
      </w:hyperlink>
    </w:p>
    <w:p>
      <w:pPr>
        <w:pStyle w:val="SourceNote"/>
      </w:pPr>
      <w:r>
        <w:rPr>
          <w:rFonts w:ascii="Calibri" w:hAnsi="Calibri" w:eastAsia="Calibri"/>
          <w:b/>
          <w:color w:val="23364D"/>
          <w:sz w:val="19"/>
        </w:rPr>
        <w:t>OAIC — APP 11: Security of personal information</w:t>
        <w:br/>
      </w:r>
      <w:hyperlink r:id="rId18">
        <w:r>
          <w:rPr>
            <w:rFonts w:ascii="Calibri" w:hAnsi="Calibri"/>
            <w:color w:val="23364D"/>
            <w:u w:val="single"/>
            <w:sz w:val="20"/>
          </w:rPr>
          <w:t>https://www.oaic.gov.au/privacy/australian-privacy-principles/australian-privacy-principles-guidelines/chapter-11-app-11-security-of-personal-information</w:t>
        </w:r>
      </w:hyperlink>
    </w:p>
    <w:p>
      <w:pPr>
        <w:pStyle w:val="SourceNote"/>
      </w:pPr>
      <w:r>
        <w:rPr>
          <w:rFonts w:ascii="Calibri" w:hAnsi="Calibri" w:eastAsia="Calibri"/>
          <w:b/>
          <w:color w:val="23364D"/>
          <w:sz w:val="19"/>
        </w:rPr>
        <w:t>ACMA — Avoid sending spam</w:t>
        <w:br/>
      </w:r>
      <w:hyperlink r:id="rId19">
        <w:r>
          <w:rPr>
            <w:rFonts w:ascii="Calibri" w:hAnsi="Calibri"/>
            <w:color w:val="23364D"/>
            <w:u w:val="single"/>
            <w:sz w:val="20"/>
          </w:rPr>
          <w:t>https://www.acma.gov.au/avoid-sending-spam</w:t>
        </w:r>
      </w:hyperlink>
    </w:p>
    <w:p>
      <w:pPr>
        <w:pStyle w:val="SourceNote"/>
      </w:pPr>
      <w:r>
        <w:rPr>
          <w:rFonts w:ascii="Calibri" w:hAnsi="Calibri" w:eastAsia="Calibri"/>
          <w:b/>
          <w:color w:val="23364D"/>
          <w:sz w:val="19"/>
        </w:rPr>
        <w:t>ACCC — Contracts and unfair contract terms</w:t>
        <w:br/>
      </w:r>
      <w:hyperlink r:id="rId20">
        <w:r>
          <w:rPr>
            <w:rFonts w:ascii="Calibri" w:hAnsi="Calibri"/>
            <w:color w:val="23364D"/>
            <w:u w:val="single"/>
            <w:sz w:val="20"/>
          </w:rPr>
          <w:t>https://www.accc.gov.au/business/selling-products-and-services/contracts</w:t>
        </w:r>
      </w:hyperlink>
    </w:p>
    <w:p>
      <w:pPr>
        <w:pStyle w:val="SourceNote"/>
      </w:pPr>
      <w:r>
        <w:rPr>
          <w:rFonts w:ascii="Calibri" w:hAnsi="Calibri" w:eastAsia="Calibri"/>
          <w:b/>
          <w:color w:val="23364D"/>
          <w:sz w:val="19"/>
        </w:rPr>
        <w:t>ACCC — Consumer rights and guarantees</w:t>
        <w:br/>
      </w:r>
      <w:hyperlink r:id="rId21">
        <w:r>
          <w:rPr>
            <w:rFonts w:ascii="Calibri" w:hAnsi="Calibri"/>
            <w:color w:val="23364D"/>
            <w:u w:val="single"/>
            <w:sz w:val="20"/>
          </w:rPr>
          <w:t>https://www.accc.gov.au/consumers/buying-products-and-services/consumer-rights-and-guarantees</w:t>
        </w:r>
      </w:hyperlink>
    </w:p>
    <w:p>
      <w:pPr>
        <w:pStyle w:val="Heading2"/>
      </w:pPr>
      <w:r>
        <w:t>Final legal review note</w:t>
      </w:r>
    </w:p>
    <w:p>
      <w:pPr>
        <w:widowControl/>
        <w:spacing w:before="0" w:after="120" w:line="264" w:lineRule="auto"/>
      </w:pPr>
      <w:r>
        <w:rPr>
          <w:rFonts w:ascii="Calibri" w:hAnsi="Calibri" w:eastAsia="Calibri"/>
          <w:color w:val="23272B"/>
        </w:rPr>
        <w:t>The Australian privacy and consumer-law framework continues to evolve. In particular, additional APP Privacy Policy disclosure requirements for certain computer-assisted decisions commence on 10 December 2026. Luxurious Group should complete the automated-tools review in section 7 and obtain solicitor confirmation before that date.</w:t>
      </w:r>
    </w:p>
    <w:sectPr w:rsidR="00FC693F" w:rsidRPr="0006063C" w:rsidSect="00034616">
      <w:headerReference w:type="default" r:id="rId9"/>
      <w:headerReference w:type="first" r:id="rId10"/>
      <w:footerReference w:type="default" r:id="rId11"/>
      <w:footerReference w:type="first" r:id="rId12"/>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
      <w:rPr>
        <w:rFonts w:ascii="Calibri" w:hAnsi="Calibri" w:eastAsia="Calibri"/>
        <w:color w:val="62676D"/>
        <w:sz w:val="17"/>
      </w:rPr>
      <w:t xml:space="preserve">© 2026 Luxurious Group Australia Pty Ltd  |  Page </w:t>
    </w:r>
    <w:r>
      <w:rPr>
        <w:rFonts w:ascii="Calibri" w:hAnsi="Calibri" w:eastAsia="Calibri"/>
        <w:color w:val="62676D"/>
        <w:sz w:val="17"/>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
      <w:rPr>
        <w:rFonts w:ascii="Calibri" w:hAnsi="Calibri" w:eastAsia="Calibri"/>
        <w:b/>
        <w:color w:val="62676D"/>
        <w:sz w:val="17"/>
      </w:rPr>
      <w:t>CONFIDENTIAL DRAFT  |  LEGAL REVIEW REQUIRED</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
      <w:rPr>
        <w:rFonts w:ascii="Calibri" w:hAnsi="Calibri" w:eastAsia="Calibri"/>
        <w:b/>
        <w:color w:val="62676D"/>
        <w:sz w:val="17"/>
      </w:rPr>
      <w:t>LUXURIOUS GROUP  |  CORPORATE MATTERS</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42">
    <w:multiLevelType w:val="multilevel"/>
    <w:lvl w:ilvl="0">
      <w:start w:val="1"/>
      <w:numFmt w:val="bullet"/>
      <w:lvlText w:val="•"/>
      <w:lvlJc w:val="left"/>
      <w:pPr>
        <w:tabs>
          <w:tab w:val="num" w:pos="720"/>
        </w:tabs>
        <w:ind w:left="720" w:hanging="360"/>
        <w:spacing w:after="160" w:line="280" w:lineRule="auto"/>
      </w:pPr>
      <w:rPr>
        <w:rFonts w:ascii="Calibri" w:hAnsi="Calibri"/>
      </w:rPr>
    </w:lvl>
    <w:lvl w:ilvl="1">
      <w:start w:val="1"/>
      <w:numFmt w:val="bullet"/>
      <w:lvlText w:val="–"/>
      <w:lvlJc w:val="left"/>
      <w:pPr>
        <w:tabs>
          <w:tab w:val="num" w:pos="1080"/>
        </w:tabs>
        <w:ind w:left="1080" w:hanging="360"/>
        <w:spacing w:after="160" w:line="280" w:lineRule="auto"/>
      </w:pPr>
      <w:rPr>
        <w:rFonts w:ascii="Calibri" w:hAnsi="Calibri"/>
      </w:rPr>
    </w:lvl>
    <w:lvl w:ilvl="2">
      <w:start w:val="1"/>
      <w:numFmt w:val="bullet"/>
      <w:lvlText w:val="○"/>
      <w:lvlJc w:val="left"/>
      <w:pPr>
        <w:tabs>
          <w:tab w:val="num" w:pos="1440"/>
        </w:tabs>
        <w:ind w:left="1440" w:hanging="360"/>
        <w:spacing w:after="160" w:line="280" w:lineRule="auto"/>
      </w:pPr>
      <w:rPr>
        <w:rFonts w:ascii="Calibri" w:hAnsi="Calibri"/>
      </w:rPr>
    </w:lvl>
  </w:abstractNum>
  <w:num w:numId="42">
    <w:abstractNumId w:val="42"/>
  </w:num>
  <w:abstractNum w:abstractNumId="43">
    <w:multiLevelType w:val="multilevel"/>
    <w:lvl w:ilvl="0">
      <w:start w:val="1"/>
      <w:numFmt w:val="decimal"/>
      <w:lvlText w:val="%1."/>
      <w:lvlJc w:val="left"/>
      <w:pPr>
        <w:tabs>
          <w:tab w:val="num" w:pos="720"/>
        </w:tabs>
        <w:ind w:left="720" w:hanging="360"/>
        <w:spacing w:after="160" w:line="280" w:lineRule="auto"/>
      </w:pPr>
      <w:rPr>
        <w:rFonts w:ascii="Calibri" w:hAnsi="Calibri"/>
      </w:rPr>
    </w:lvl>
    <w:lvl w:ilvl="1">
      <w:start w:val="1"/>
      <w:numFmt w:val="lowerLetter"/>
      <w:lvlText w:val="%2."/>
      <w:lvlJc w:val="left"/>
      <w:pPr>
        <w:tabs>
          <w:tab w:val="num" w:pos="1080"/>
        </w:tabs>
        <w:ind w:left="1080" w:hanging="360"/>
        <w:spacing w:after="160" w:line="280" w:lineRule="auto"/>
      </w:pPr>
      <w:rPr>
        <w:rFonts w:ascii="Calibri" w:hAnsi="Calibri"/>
      </w:rPr>
    </w:lvl>
    <w:lvl w:ilvl="2">
      <w:start w:val="1"/>
      <w:numFmt w:val="lowerRoman"/>
      <w:lvlText w:val="%3."/>
      <w:lvlJc w:val="left"/>
      <w:pPr>
        <w:tabs>
          <w:tab w:val="num" w:pos="1440"/>
        </w:tabs>
        <w:ind w:left="1440" w:hanging="360"/>
        <w:spacing w:after="160" w:line="280" w:lineRule="auto"/>
      </w:pPr>
      <w:rPr>
        <w:rFonts w:ascii="Calibri" w:hAnsi="Calibri"/>
      </w:rPr>
    </w:lvl>
  </w:abstractNum>
  <w:num w:numId="43">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20" w:line="264" w:lineRule="auto"/>
    </w:pPr>
    <w:rPr>
      <w:rFonts w:ascii="Calibri" w:hAnsi="Calibri" w:eastAsia="Calibri"/>
      <w:color w:val="23272B"/>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320" w:after="160" w:line="252" w:lineRule="auto"/>
      <w:outlineLvl w:val="0"/>
    </w:pPr>
    <w:rPr>
      <w:rFonts w:asciiTheme="majorHAnsi" w:eastAsiaTheme="majorEastAsia" w:hAnsiTheme="majorHAnsi" w:cstheme="majorBidi" w:ascii="Calibri" w:hAnsi="Calibri"/>
      <w:b/>
      <w:bCs/>
      <w:color w:val="9C7A38"/>
      <w:sz w:val="32"/>
      <w:szCs w:val="28"/>
    </w:rPr>
  </w:style>
  <w:style w:type="paragraph" w:styleId="Heading2">
    <w:name w:val="heading 2"/>
    <w:basedOn w:val="Normal"/>
    <w:next w:val="Normal"/>
    <w:link w:val="Heading2Char"/>
    <w:uiPriority w:val="9"/>
    <w:unhideWhenUsed/>
    <w:qFormat/>
    <w:rsid w:val="00FC693F"/>
    <w:pPr>
      <w:keepNext/>
      <w:keepLines/>
      <w:widowControl/>
      <w:spacing w:before="240" w:after="120" w:line="252" w:lineRule="auto"/>
      <w:outlineLvl w:val="1"/>
    </w:pPr>
    <w:rPr>
      <w:rFonts w:asciiTheme="majorHAnsi" w:eastAsiaTheme="majorEastAsia" w:hAnsiTheme="majorHAnsi" w:cstheme="majorBidi" w:ascii="Calibri" w:hAnsi="Calibri"/>
      <w:b/>
      <w:bCs/>
      <w:color w:val="23364D"/>
      <w:sz w:val="26"/>
      <w:szCs w:val="26"/>
    </w:rPr>
  </w:style>
  <w:style w:type="paragraph" w:styleId="Heading3">
    <w:name w:val="heading 3"/>
    <w:basedOn w:val="Normal"/>
    <w:next w:val="Normal"/>
    <w:link w:val="Heading3Char"/>
    <w:uiPriority w:val="9"/>
    <w:unhideWhenUsed/>
    <w:qFormat/>
    <w:rsid w:val="00FC693F"/>
    <w:pPr>
      <w:keepNext/>
      <w:keepLines/>
      <w:widowControl/>
      <w:spacing w:before="160" w:after="80" w:line="252" w:lineRule="auto"/>
      <w:outlineLvl w:val="2"/>
    </w:pPr>
    <w:rPr>
      <w:rFonts w:asciiTheme="majorHAnsi" w:eastAsiaTheme="majorEastAsia" w:hAnsiTheme="majorHAnsi" w:cstheme="majorBidi" w:ascii="Calibri" w:hAnsi="Calibri"/>
      <w:b/>
      <w:bCs/>
      <w:color w:val="23364D"/>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before="0"/>
      <w:contextualSpacing/>
    </w:pPr>
    <w:rPr>
      <w:rFonts w:asciiTheme="majorHAnsi" w:eastAsiaTheme="majorEastAsia" w:hAnsiTheme="majorHAnsi" w:cstheme="majorBidi" w:ascii="Calibri" w:hAnsi="Calibri"/>
      <w:b/>
      <w:color w:val="23272B"/>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0" w:after="160" w:line="252" w:lineRule="auto"/>
    </w:pPr>
    <w:rPr>
      <w:rFonts w:asciiTheme="majorHAnsi" w:eastAsiaTheme="majorEastAsia" w:hAnsiTheme="majorHAnsi" w:cstheme="majorBidi" w:ascii="Calibri" w:hAnsi="Calibri"/>
      <w:i/>
      <w:iCs/>
      <w:color w:val="23364D"/>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icker">
    <w:name w:val="Kicker"/>
    <w:pPr>
      <w:keepNext/>
      <w:spacing w:before="0" w:after="100"/>
    </w:pPr>
    <w:rPr>
      <w:rFonts w:ascii="Calibri" w:hAnsi="Calibri"/>
      <w:b/>
      <w:color w:val="9C7A38"/>
      <w:sz w:val="20"/>
    </w:rPr>
  </w:style>
  <w:style w:type="paragraph" w:customStyle="1" w:styleId="Lead">
    <w:name w:val="Lead"/>
    <w:pPr>
      <w:widowControl/>
      <w:spacing w:before="0" w:after="200" w:line="283" w:lineRule="auto"/>
    </w:pPr>
    <w:rPr>
      <w:rFonts w:ascii="Calibri" w:hAnsi="Calibri"/>
      <w:color w:val="23364D"/>
      <w:sz w:val="24"/>
    </w:rPr>
  </w:style>
  <w:style w:type="paragraph" w:customStyle="1" w:styleId="Callout">
    <w:name w:val="Callout"/>
    <w:pPr>
      <w:keepLines/>
      <w:spacing w:before="160" w:after="200" w:line="269" w:lineRule="auto"/>
      <w:ind w:left="259" w:right="144"/>
    </w:pPr>
    <w:rPr>
      <w:rFonts w:ascii="Calibri" w:hAnsi="Calibri"/>
      <w:color w:val="23272B"/>
      <w:sz w:val="21"/>
    </w:rPr>
  </w:style>
  <w:style w:type="paragraph" w:customStyle="1" w:styleId="ClauseBody">
    <w:name w:val="Clause Body"/>
    <w:pPr>
      <w:widowControl/>
      <w:spacing w:before="0" w:after="120" w:line="264" w:lineRule="auto"/>
      <w:ind w:left="259" w:hanging="259"/>
    </w:pPr>
    <w:rPr>
      <w:rFonts w:ascii="Calibri" w:hAnsi="Calibri"/>
      <w:color w:val="23272B"/>
      <w:sz w:val="21"/>
    </w:rPr>
  </w:style>
  <w:style w:type="paragraph" w:customStyle="1" w:styleId="SourceNote">
    <w:name w:val="Source Note"/>
    <w:pPr>
      <w:spacing w:before="0" w:after="100" w:line="252" w:lineRule="auto"/>
    </w:pPr>
    <w:rPr>
      <w:rFonts w:ascii="Calibri" w:hAnsi="Calibri"/>
      <w:color w:val="62676D"/>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yperlink" Target="https://www.legislation.gov.au/C2004A03712/latest/text" TargetMode="External"/><Relationship Id="rId14" Type="http://schemas.openxmlformats.org/officeDocument/2006/relationships/hyperlink" Target="https://www.oaic.gov.au/privacy/australian-privacy-principles/australian-privacy-principles-guidelines" TargetMode="External"/><Relationship Id="rId15" Type="http://schemas.openxmlformats.org/officeDocument/2006/relationships/hyperlink" Target="https://www.oaic.gov.au/privacy/australian-privacy-principles/australian-privacy-principles-guidelines/chapter-1-app-1-open-and-transparent-management-of-personal-information" TargetMode="External"/><Relationship Id="rId16" Type="http://schemas.openxmlformats.org/officeDocument/2006/relationships/hyperlink" Target="https://www.oaic.gov.au/privacy/notifiable-data-breaches/about-the-notifiable-data-breaches-scheme" TargetMode="External"/><Relationship Id="rId17" Type="http://schemas.openxmlformats.org/officeDocument/2006/relationships/hyperlink" Target="https://www.oaic.gov.au/privacy/australian-privacy-principles/australian-privacy-principles-guidelines/chapter-8-app-8-cross-border-disclosure-of-personal-information" TargetMode="External"/><Relationship Id="rId18" Type="http://schemas.openxmlformats.org/officeDocument/2006/relationships/hyperlink" Target="https://www.oaic.gov.au/privacy/australian-privacy-principles/australian-privacy-principles-guidelines/chapter-11-app-11-security-of-personal-information" TargetMode="External"/><Relationship Id="rId19" Type="http://schemas.openxmlformats.org/officeDocument/2006/relationships/hyperlink" Target="https://www.acma.gov.au/avoid-sending-spam" TargetMode="External"/><Relationship Id="rId20" Type="http://schemas.openxmlformats.org/officeDocument/2006/relationships/hyperlink" Target="https://www.accc.gov.au/business/selling-products-and-services/contracts" TargetMode="External"/><Relationship Id="rId21" Type="http://schemas.openxmlformats.org/officeDocument/2006/relationships/hyperlink" Target="https://www.accc.gov.au/consumers/buying-products-and-services/consumer-rights-and-guarante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Luxurious Group Corporate Matters 2026</dc:title>
  <dc:subject>Privacy Policy, Confidentiality Clause, Disclaimer, Vision, Mission and Values</dc:subject>
  <dc:creator>Luxurious Group Australia Pty Ltd</dc:creator>
  <cp:keywords>Luxurious Group, privacy policy, confidentiality, disclaimer, corporate statements, Queensland</cp:keywords>
  <dc:description>Prepared for legal review and corporate implementation.</dc:description>
  <cp:lastModifiedBy/>
  <cp:revision>1</cp:revision>
  <dcterms:created xsi:type="dcterms:W3CDTF">2013-12-23T23:15:00Z</dcterms:created>
  <dcterms:modified xsi:type="dcterms:W3CDTF">2013-12-23T23:15:00Z</dcterms:modified>
  <cp:category/>
</cp:coreProperties>
</file>